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911F" w14:textId="731FD439" w:rsidR="004B4668" w:rsidRPr="00CC0A9B" w:rsidRDefault="004B4668" w:rsidP="004B4668">
      <w:pPr>
        <w:rPr>
          <w:b/>
          <w:lang w:val="en-GB"/>
        </w:rPr>
      </w:pPr>
      <w:r w:rsidRPr="00CC0A9B">
        <w:rPr>
          <w:b/>
          <w:lang w:val="en-GB"/>
        </w:rPr>
        <w:t xml:space="preserve">Technical Assistance to Implement the ROBBIKI LEATHER CITY-RLC- Relocation Project - T.A.I./RLC – Cairo - Egypt </w:t>
      </w:r>
    </w:p>
    <w:p w14:paraId="00755817" w14:textId="524318EB" w:rsidR="004B4668" w:rsidRPr="00BB099C" w:rsidRDefault="004B4668" w:rsidP="004B4668">
      <w:pPr>
        <w:rPr>
          <w:b/>
          <w:lang w:val="fr-FR"/>
        </w:rPr>
      </w:pPr>
      <w:r w:rsidRPr="00BB099C">
        <w:rPr>
          <w:b/>
          <w:lang w:val="fr-FR"/>
        </w:rPr>
        <w:t xml:space="preserve">N. TAI/RLC/TA02.2023-02 </w:t>
      </w:r>
      <w:proofErr w:type="gramStart"/>
      <w:r w:rsidRPr="00BB099C">
        <w:rPr>
          <w:b/>
          <w:lang w:val="fr-FR"/>
        </w:rPr>
        <w:t>CIG:</w:t>
      </w:r>
      <w:proofErr w:type="gramEnd"/>
      <w:r w:rsidRPr="00BB099C">
        <w:rPr>
          <w:b/>
          <w:lang w:val="fr-FR"/>
        </w:rPr>
        <w:t xml:space="preserve"> 9952738B36</w:t>
      </w:r>
    </w:p>
    <w:p w14:paraId="78E7C57A" w14:textId="77777777" w:rsidR="004B4668" w:rsidRPr="00BB099C" w:rsidRDefault="004B4668">
      <w:pPr>
        <w:rPr>
          <w:b/>
          <w:lang w:val="fr-FR"/>
        </w:rPr>
      </w:pPr>
    </w:p>
    <w:p w14:paraId="1C1953AD" w14:textId="62412DDD" w:rsidR="004B4668" w:rsidRPr="00CC0A9B" w:rsidRDefault="004B4668">
      <w:pPr>
        <w:rPr>
          <w:b/>
          <w:lang w:val="en-GB"/>
        </w:rPr>
      </w:pPr>
      <w:r w:rsidRPr="00CC0A9B">
        <w:rPr>
          <w:b/>
          <w:lang w:val="en-GB"/>
        </w:rPr>
        <w:t>CLARIFICATIONS</w:t>
      </w:r>
    </w:p>
    <w:p w14:paraId="79895910" w14:textId="77777777" w:rsidR="004B4668" w:rsidRPr="00CC0A9B" w:rsidRDefault="004B4668">
      <w:pPr>
        <w:rPr>
          <w:b/>
          <w:lang w:val="en-GB"/>
        </w:rPr>
      </w:pPr>
    </w:p>
    <w:tbl>
      <w:tblPr>
        <w:tblStyle w:val="TableGrid"/>
        <w:tblW w:w="0" w:type="auto"/>
        <w:tblLook w:val="04A0" w:firstRow="1" w:lastRow="0" w:firstColumn="1" w:lastColumn="0" w:noHBand="0" w:noVBand="1"/>
      </w:tblPr>
      <w:tblGrid>
        <w:gridCol w:w="3256"/>
        <w:gridCol w:w="5342"/>
      </w:tblGrid>
      <w:tr w:rsidR="004B4668" w:rsidRPr="00CC0A9B" w14:paraId="46D582FF" w14:textId="77777777" w:rsidTr="00316541">
        <w:tc>
          <w:tcPr>
            <w:tcW w:w="3256" w:type="dxa"/>
          </w:tcPr>
          <w:p w14:paraId="5F704C27" w14:textId="0AB8B2E9" w:rsidR="004B4668" w:rsidRPr="00CC0A9B" w:rsidRDefault="004B4668">
            <w:pPr>
              <w:rPr>
                <w:b/>
                <w:lang w:val="en-GB"/>
              </w:rPr>
            </w:pPr>
            <w:r w:rsidRPr="00CC0A9B">
              <w:rPr>
                <w:b/>
                <w:lang w:val="en-GB"/>
              </w:rPr>
              <w:t>QUESTION</w:t>
            </w:r>
          </w:p>
        </w:tc>
        <w:tc>
          <w:tcPr>
            <w:tcW w:w="5342" w:type="dxa"/>
          </w:tcPr>
          <w:p w14:paraId="72266AA0" w14:textId="251CF073" w:rsidR="004B4668" w:rsidRPr="00CC0A9B" w:rsidRDefault="004B4668" w:rsidP="00BB099C">
            <w:pPr>
              <w:jc w:val="both"/>
              <w:rPr>
                <w:b/>
                <w:lang w:val="en-GB"/>
              </w:rPr>
            </w:pPr>
            <w:r w:rsidRPr="00CC0A9B">
              <w:rPr>
                <w:b/>
                <w:lang w:val="en-GB"/>
              </w:rPr>
              <w:t>ANSWER</w:t>
            </w:r>
          </w:p>
        </w:tc>
      </w:tr>
      <w:tr w:rsidR="004B4668" w:rsidRPr="00BB099C" w14:paraId="3C0F7B1E" w14:textId="77777777" w:rsidTr="00316541">
        <w:tc>
          <w:tcPr>
            <w:tcW w:w="3256" w:type="dxa"/>
          </w:tcPr>
          <w:p w14:paraId="4D63FF18" w14:textId="71B57EBA" w:rsidR="004B4668" w:rsidRPr="00CC0A9B" w:rsidRDefault="004B4668">
            <w:pPr>
              <w:rPr>
                <w:lang w:val="en-GB"/>
              </w:rPr>
            </w:pPr>
            <w:r w:rsidRPr="00CC0A9B">
              <w:rPr>
                <w:b/>
                <w:lang w:val="en-GB"/>
              </w:rPr>
              <w:t xml:space="preserve">Q1. </w:t>
            </w:r>
            <w:r w:rsidRPr="00CC0A9B">
              <w:rPr>
                <w:lang w:val="en-GB"/>
              </w:rPr>
              <w:t>Is the Financial Identification Form to be produced only by the lead partner?</w:t>
            </w:r>
          </w:p>
        </w:tc>
        <w:tc>
          <w:tcPr>
            <w:tcW w:w="5342" w:type="dxa"/>
          </w:tcPr>
          <w:p w14:paraId="103E2B4A" w14:textId="19F3B32D" w:rsidR="004B4668" w:rsidRPr="00CC0A9B" w:rsidRDefault="004B4668" w:rsidP="00BB099C">
            <w:pPr>
              <w:jc w:val="both"/>
              <w:rPr>
                <w:b/>
                <w:lang w:val="en-GB"/>
              </w:rPr>
            </w:pPr>
            <w:r w:rsidRPr="00CC0A9B">
              <w:rPr>
                <w:b/>
                <w:lang w:val="en-GB"/>
              </w:rPr>
              <w:t xml:space="preserve">A1. </w:t>
            </w:r>
            <w:r w:rsidRPr="00CC0A9B">
              <w:rPr>
                <w:lang w:val="en-GB"/>
              </w:rPr>
              <w:t xml:space="preserve">Yes, only Lead Partner. </w:t>
            </w:r>
          </w:p>
        </w:tc>
      </w:tr>
      <w:tr w:rsidR="004B4668" w:rsidRPr="00BB099C" w14:paraId="78B4B942" w14:textId="77777777" w:rsidTr="00316541">
        <w:tc>
          <w:tcPr>
            <w:tcW w:w="3256" w:type="dxa"/>
          </w:tcPr>
          <w:p w14:paraId="5D8B3A32" w14:textId="352D803E" w:rsidR="004B4668" w:rsidRPr="00CC0A9B" w:rsidRDefault="004B4668">
            <w:pPr>
              <w:rPr>
                <w:lang w:val="en-GB"/>
              </w:rPr>
            </w:pPr>
            <w:r w:rsidRPr="00CC0A9B">
              <w:rPr>
                <w:b/>
                <w:lang w:val="en-GB"/>
              </w:rPr>
              <w:t xml:space="preserve">Q2. </w:t>
            </w:r>
            <w:r w:rsidRPr="00CC0A9B">
              <w:rPr>
                <w:lang w:val="en-GB"/>
              </w:rPr>
              <w:t xml:space="preserve">For the Tender submission form, point e) requests a Duly Authorized signature, an official document confirming that the person signing on behalf of the company/joint venture/consortium is authorized to do so. Does this refer to the power of representation of PIN, </w:t>
            </w:r>
            <w:proofErr w:type="spellStart"/>
            <w:r w:rsidRPr="00CC0A9B">
              <w:rPr>
                <w:lang w:val="en-GB"/>
              </w:rPr>
              <w:t>Assomac</w:t>
            </w:r>
            <w:proofErr w:type="spellEnd"/>
            <w:r w:rsidRPr="00CC0A9B">
              <w:rPr>
                <w:lang w:val="en-GB"/>
              </w:rPr>
              <w:t>, and POTECO (by attaching their respective chamber certificates with signing powers), or does it refer to a mandate of representation by the legal representative of PIN on behalf of the other two participants? In that case, should a similar document be prepared and signed?</w:t>
            </w:r>
          </w:p>
        </w:tc>
        <w:tc>
          <w:tcPr>
            <w:tcW w:w="5342" w:type="dxa"/>
          </w:tcPr>
          <w:p w14:paraId="6B021843" w14:textId="038AC4EC" w:rsidR="004B4668" w:rsidRPr="00CC0A9B" w:rsidRDefault="004B4668" w:rsidP="00BB099C">
            <w:pPr>
              <w:spacing w:after="120"/>
              <w:jc w:val="both"/>
              <w:rPr>
                <w:lang w:val="en-GB"/>
              </w:rPr>
            </w:pPr>
            <w:r w:rsidRPr="00CC0A9B">
              <w:rPr>
                <w:b/>
                <w:lang w:val="en-GB"/>
              </w:rPr>
              <w:t>A2</w:t>
            </w:r>
            <w:r w:rsidRPr="00CC0A9B">
              <w:rPr>
                <w:lang w:val="en-GB"/>
              </w:rPr>
              <w:t>. In compliance with the Instructions for Tenderers</w:t>
            </w:r>
            <w:r w:rsidR="00F06531" w:rsidRPr="00CC0A9B">
              <w:rPr>
                <w:lang w:val="en-GB"/>
              </w:rPr>
              <w:t xml:space="preserve">, Section 4.1, (1), (e) </w:t>
            </w:r>
            <w:r w:rsidRPr="00CC0A9B">
              <w:rPr>
                <w:lang w:val="en-GB"/>
              </w:rPr>
              <w:t xml:space="preserve">Duly authorised signature </w:t>
            </w:r>
            <w:r w:rsidR="00641509" w:rsidRPr="00CC0A9B">
              <w:rPr>
                <w:lang w:val="en-GB"/>
              </w:rPr>
              <w:t>“</w:t>
            </w:r>
            <w:r w:rsidRPr="00CC0A9B">
              <w:rPr>
                <w:i/>
                <w:lang w:val="en-GB"/>
              </w:rPr>
              <w:t>an official document (statutes, power of attorney, notary statement, etc.) proving that the person who signs on behalf of the company/joint venture/consortium is duly authorised to do so</w:t>
            </w:r>
            <w:r w:rsidR="00641509" w:rsidRPr="00CC0A9B">
              <w:rPr>
                <w:lang w:val="en-GB"/>
              </w:rPr>
              <w:t xml:space="preserve">”. </w:t>
            </w:r>
            <w:r w:rsidR="00F06531" w:rsidRPr="00CC0A9B">
              <w:rPr>
                <w:lang w:val="en-GB"/>
              </w:rPr>
              <w:t>If the tenderer is a consortium, this</w:t>
            </w:r>
            <w:r w:rsidR="00641509" w:rsidRPr="00CC0A9B">
              <w:rPr>
                <w:lang w:val="en-GB"/>
              </w:rPr>
              <w:t xml:space="preserve"> means that:</w:t>
            </w:r>
          </w:p>
          <w:p w14:paraId="182F4158" w14:textId="766F0E9C" w:rsidR="00641509" w:rsidRPr="00CC0A9B" w:rsidRDefault="00641509" w:rsidP="00BB099C">
            <w:pPr>
              <w:pStyle w:val="ListParagraph"/>
              <w:numPr>
                <w:ilvl w:val="0"/>
                <w:numId w:val="6"/>
              </w:numPr>
              <w:jc w:val="both"/>
              <w:rPr>
                <w:b/>
                <w:lang w:val="en-GB"/>
              </w:rPr>
            </w:pPr>
            <w:r w:rsidRPr="00CC0A9B">
              <w:rPr>
                <w:lang w:val="en-GB"/>
              </w:rPr>
              <w:t>All the consortium members (leader and partners) are required to submit a suitable official document proving that the person that is signing for the company is duly authorised to do so</w:t>
            </w:r>
            <w:r w:rsidR="00F06531" w:rsidRPr="00CC0A9B">
              <w:rPr>
                <w:lang w:val="en-GB"/>
              </w:rPr>
              <w:t>;</w:t>
            </w:r>
            <w:r w:rsidRPr="00CC0A9B">
              <w:rPr>
                <w:lang w:val="en-GB"/>
              </w:rPr>
              <w:t xml:space="preserve"> </w:t>
            </w:r>
          </w:p>
          <w:p w14:paraId="2015D3DC" w14:textId="69B32214" w:rsidR="00641509" w:rsidRPr="00CC0A9B" w:rsidRDefault="00641509" w:rsidP="00BB099C">
            <w:pPr>
              <w:pStyle w:val="ListParagraph"/>
              <w:jc w:val="both"/>
              <w:rPr>
                <w:b/>
                <w:lang w:val="en-GB"/>
              </w:rPr>
            </w:pPr>
            <w:r w:rsidRPr="00CC0A9B">
              <w:rPr>
                <w:lang w:val="en-GB"/>
              </w:rPr>
              <w:t>and</w:t>
            </w:r>
          </w:p>
          <w:p w14:paraId="41446A74" w14:textId="4AB17B2C" w:rsidR="004B4668" w:rsidRPr="00CC0A9B" w:rsidRDefault="00641509" w:rsidP="00BB099C">
            <w:pPr>
              <w:pStyle w:val="ListParagraph"/>
              <w:numPr>
                <w:ilvl w:val="0"/>
                <w:numId w:val="6"/>
              </w:numPr>
              <w:jc w:val="both"/>
              <w:rPr>
                <w:b/>
                <w:lang w:val="en-GB"/>
              </w:rPr>
            </w:pPr>
            <w:r w:rsidRPr="00CC0A9B">
              <w:rPr>
                <w:lang w:val="en-GB"/>
              </w:rPr>
              <w:t xml:space="preserve">The consortium partners are also required to submit a suitable document proving that the </w:t>
            </w:r>
            <w:r w:rsidR="00F06531" w:rsidRPr="00CC0A9B">
              <w:rPr>
                <w:lang w:val="en-GB"/>
              </w:rPr>
              <w:t>c</w:t>
            </w:r>
            <w:r w:rsidRPr="00CC0A9B">
              <w:rPr>
                <w:lang w:val="en-GB"/>
              </w:rPr>
              <w:t>onsortium leader is formally empowered to represent them in connection with the tender procedure.</w:t>
            </w:r>
            <w:r w:rsidR="004B4668" w:rsidRPr="00CC0A9B">
              <w:rPr>
                <w:b/>
                <w:lang w:val="en-GB"/>
              </w:rPr>
              <w:t xml:space="preserve"> </w:t>
            </w:r>
          </w:p>
        </w:tc>
      </w:tr>
      <w:tr w:rsidR="004B4668" w:rsidRPr="00BB099C" w14:paraId="75E4CF42" w14:textId="77777777" w:rsidTr="00316541">
        <w:tc>
          <w:tcPr>
            <w:tcW w:w="3256" w:type="dxa"/>
          </w:tcPr>
          <w:p w14:paraId="0DF0F6EA" w14:textId="1CE3A8C3" w:rsidR="004B4668" w:rsidRPr="00CC0A9B" w:rsidRDefault="00641509">
            <w:pPr>
              <w:rPr>
                <w:lang w:val="en-GB"/>
              </w:rPr>
            </w:pPr>
            <w:bookmarkStart w:id="0" w:name="_Hlk150774265"/>
            <w:r w:rsidRPr="00CC0A9B">
              <w:rPr>
                <w:b/>
                <w:lang w:val="en-GB"/>
              </w:rPr>
              <w:t>Q3.</w:t>
            </w:r>
            <w:r w:rsidRPr="00CC0A9B">
              <w:rPr>
                <w:lang w:val="en-GB"/>
              </w:rPr>
              <w:t xml:space="preserve"> Regarding the documents NOT to be sent (point 5 of the Technical offer), it requests for EACH PARTNER a document that attests, according to Italian law, that they exist and are not subject to any of the exclusion conditions in section 2.6.10.1 of the PRAG. Which documents are being referred to? Pending charges? DURC?</w:t>
            </w:r>
          </w:p>
        </w:tc>
        <w:tc>
          <w:tcPr>
            <w:tcW w:w="5342" w:type="dxa"/>
          </w:tcPr>
          <w:p w14:paraId="70C1BD00" w14:textId="604079A1" w:rsidR="00191F24" w:rsidRPr="00CC0A9B" w:rsidRDefault="00316541" w:rsidP="00BB099C">
            <w:pPr>
              <w:spacing w:before="240" w:after="240"/>
              <w:jc w:val="both"/>
              <w:rPr>
                <w:i/>
                <w:noProof/>
                <w:lang w:val="en-GB"/>
              </w:rPr>
            </w:pPr>
            <w:r w:rsidRPr="00CC0A9B">
              <w:rPr>
                <w:b/>
                <w:lang w:val="en-GB"/>
              </w:rPr>
              <w:t>A3</w:t>
            </w:r>
            <w:r w:rsidRPr="00CC0A9B">
              <w:rPr>
                <w:lang w:val="en-GB"/>
              </w:rPr>
              <w:t xml:space="preserve">. </w:t>
            </w:r>
            <w:r w:rsidR="00191F24" w:rsidRPr="00CC0A9B">
              <w:rPr>
                <w:lang w:val="en-GB"/>
              </w:rPr>
              <w:t>Information</w:t>
            </w:r>
            <w:r w:rsidR="00921ACF" w:rsidRPr="00CC0A9B">
              <w:rPr>
                <w:lang w:val="en-GB"/>
              </w:rPr>
              <w:t xml:space="preserve"> on </w:t>
            </w:r>
            <w:r w:rsidR="00191F24" w:rsidRPr="00CC0A9B">
              <w:rPr>
                <w:lang w:val="en-GB"/>
              </w:rPr>
              <w:t>documents to be provided are included in the Declaration on honour on exclusion criteria and selection criteria. In particular, the , section VI – Evidence on Request stipulates that the person making the Declaration, at the request of the Contracting Authority: “</w:t>
            </w:r>
            <w:r w:rsidR="00191F24" w:rsidRPr="00CC0A9B">
              <w:rPr>
                <w:i/>
                <w:noProof/>
                <w:lang w:val="en-GB"/>
              </w:rPr>
              <w:t xml:space="preserve">must provide information on </w:t>
            </w:r>
            <w:r w:rsidR="00191F24" w:rsidRPr="00CC0A9B">
              <w:rPr>
                <w:b/>
                <w:i/>
                <w:noProof/>
                <w:lang w:val="en-GB"/>
              </w:rPr>
              <w:t xml:space="preserve">natural or legal persons that are members of the administrative, management or supervisory body or that have powers of representation, decision or control, including legal and natural persons within the ownership and control structure and beneficial owners </w:t>
            </w:r>
            <w:r w:rsidR="00191F24" w:rsidRPr="00CC0A9B">
              <w:rPr>
                <w:i/>
                <w:noProof/>
                <w:lang w:val="en-GB"/>
              </w:rPr>
              <w:t xml:space="preserve">and appropriate evidence that none of those persons are in one of the exclusion situations referred to in (1) (c) to (f). </w:t>
            </w:r>
          </w:p>
          <w:p w14:paraId="537CA9F3" w14:textId="77777777" w:rsidR="00191F24" w:rsidRPr="00CC0A9B" w:rsidRDefault="00191F24" w:rsidP="00BB099C">
            <w:pPr>
              <w:spacing w:before="120" w:after="120"/>
              <w:ind w:firstLine="11"/>
              <w:jc w:val="both"/>
              <w:rPr>
                <w:i/>
                <w:noProof/>
                <w:lang w:val="en-GB"/>
              </w:rPr>
            </w:pPr>
            <w:r w:rsidRPr="00CC0A9B">
              <w:rPr>
                <w:i/>
                <w:noProof/>
                <w:lang w:val="en-GB"/>
              </w:rPr>
              <w:t xml:space="preserve">It must also provide the </w:t>
            </w:r>
            <w:r w:rsidRPr="00CC0A9B">
              <w:rPr>
                <w:b/>
                <w:i/>
                <w:noProof/>
                <w:lang w:val="en-GB"/>
              </w:rPr>
              <w:t xml:space="preserve">following evidence concerning the person itself and the natural or legal persons on whose capacity the person intends to rely, or a subcontractor and concerning the natural or legal persons which </w:t>
            </w:r>
            <w:r w:rsidRPr="00CC0A9B">
              <w:rPr>
                <w:b/>
                <w:i/>
                <w:noProof/>
                <w:lang w:val="en-GB"/>
              </w:rPr>
              <w:lastRenderedPageBreak/>
              <w:t>assume unlimited liability for the debts of the person:</w:t>
            </w:r>
          </w:p>
          <w:p w14:paraId="5E2C807A" w14:textId="08F518B4" w:rsidR="00191F24" w:rsidRPr="00CC0A9B" w:rsidRDefault="00191F24" w:rsidP="00BB099C">
            <w:pPr>
              <w:pStyle w:val="ListParagraph"/>
              <w:numPr>
                <w:ilvl w:val="0"/>
                <w:numId w:val="15"/>
              </w:numPr>
              <w:spacing w:before="120" w:after="120"/>
              <w:jc w:val="both"/>
              <w:rPr>
                <w:i/>
                <w:noProof/>
                <w:lang w:val="en-GB"/>
              </w:rPr>
            </w:pPr>
            <w:r w:rsidRPr="00CC0A9B">
              <w:rPr>
                <w:i/>
                <w:noProof/>
                <w:lang w:val="en-GB"/>
              </w:rPr>
              <w:t xml:space="preserve">For situations described in (1): (a), (c), (d), (f), (g) and (h), production </w:t>
            </w:r>
            <w:r w:rsidRPr="00CC0A9B">
              <w:rPr>
                <w:b/>
                <w:i/>
                <w:noProof/>
                <w:lang w:val="en-GB"/>
              </w:rPr>
              <w:t>of a recent extract from the judicial record</w:t>
            </w:r>
            <w:r w:rsidRPr="00CC0A9B">
              <w:rPr>
                <w:i/>
                <w:noProof/>
                <w:lang w:val="en-GB"/>
              </w:rPr>
              <w:t xml:space="preserve"> is required or, failing that, an equivalent document recently issued by a judicial or administrative authority in the country of establishment of the person showing that those requirements are satisfied”. </w:t>
            </w:r>
          </w:p>
          <w:p w14:paraId="3C7B2180" w14:textId="5A016CA2" w:rsidR="00191F24" w:rsidRPr="00CC0A9B" w:rsidRDefault="00191F24" w:rsidP="00BB099C">
            <w:pPr>
              <w:pStyle w:val="ListParagraph"/>
              <w:numPr>
                <w:ilvl w:val="0"/>
                <w:numId w:val="15"/>
              </w:numPr>
              <w:spacing w:before="120" w:after="120"/>
              <w:jc w:val="both"/>
              <w:rPr>
                <w:i/>
                <w:noProof/>
                <w:lang w:val="en-GB"/>
              </w:rPr>
            </w:pPr>
            <w:r w:rsidRPr="00CC0A9B">
              <w:rPr>
                <w:i/>
                <w:noProof/>
                <w:lang w:val="en-GB"/>
              </w:rPr>
              <w:t xml:space="preserve">For the situation described in point (1) (a), (b), production of </w:t>
            </w:r>
            <w:r w:rsidRPr="00CC0A9B">
              <w:rPr>
                <w:b/>
                <w:i/>
                <w:noProof/>
                <w:lang w:val="en-GB"/>
              </w:rPr>
              <w:t>recent certificates issued by the competent authorities</w:t>
            </w:r>
            <w:r w:rsidRPr="00CC0A9B">
              <w:rPr>
                <w:i/>
                <w:noProof/>
                <w:lang w:val="en-GB"/>
              </w:rPr>
              <w:t xml:space="preserve">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p>
          <w:p w14:paraId="703D2C99" w14:textId="6AFC5421" w:rsidR="002601FA" w:rsidRPr="00CC0A9B" w:rsidRDefault="00191F24" w:rsidP="00BB099C">
            <w:pPr>
              <w:spacing w:before="120" w:after="120"/>
              <w:jc w:val="both"/>
              <w:rPr>
                <w:b/>
                <w:lang w:val="en-GB"/>
              </w:rPr>
            </w:pPr>
            <w:r w:rsidRPr="00CC0A9B">
              <w:rPr>
                <w:b/>
                <w:lang w:val="en-GB"/>
              </w:rPr>
              <w:t xml:space="preserve">In Italy, for situations described in (1): (a), (c), (d), (f), (g) and (h) </w:t>
            </w:r>
            <w:r w:rsidR="000D35E2" w:rsidRPr="00CC0A9B">
              <w:rPr>
                <w:b/>
                <w:lang w:val="en-GB"/>
              </w:rPr>
              <w:t xml:space="preserve">acceptable evidence </w:t>
            </w:r>
            <w:r w:rsidRPr="00CC0A9B">
              <w:rPr>
                <w:b/>
                <w:lang w:val="en-GB"/>
              </w:rPr>
              <w:t>may be a Certificate from the Judicial Records Register (</w:t>
            </w:r>
            <w:proofErr w:type="spellStart"/>
            <w:r w:rsidRPr="00CC0A9B">
              <w:rPr>
                <w:b/>
                <w:lang w:val="en-GB"/>
              </w:rPr>
              <w:t>Certificato</w:t>
            </w:r>
            <w:proofErr w:type="spellEnd"/>
            <w:r w:rsidRPr="00CC0A9B">
              <w:rPr>
                <w:b/>
                <w:lang w:val="en-GB"/>
              </w:rPr>
              <w:t xml:space="preserve"> del </w:t>
            </w:r>
            <w:proofErr w:type="spellStart"/>
            <w:r w:rsidRPr="00CC0A9B">
              <w:rPr>
                <w:b/>
                <w:lang w:val="en-GB"/>
              </w:rPr>
              <w:t>Casellario</w:t>
            </w:r>
            <w:proofErr w:type="spellEnd"/>
            <w:r w:rsidRPr="00CC0A9B">
              <w:rPr>
                <w:b/>
                <w:lang w:val="en-GB"/>
              </w:rPr>
              <w:t xml:space="preserve"> </w:t>
            </w:r>
            <w:proofErr w:type="spellStart"/>
            <w:r w:rsidRPr="00CC0A9B">
              <w:rPr>
                <w:b/>
                <w:lang w:val="en-GB"/>
              </w:rPr>
              <w:t>Giudiziale</w:t>
            </w:r>
            <w:proofErr w:type="spellEnd"/>
            <w:r w:rsidRPr="00CC0A9B">
              <w:rPr>
                <w:b/>
                <w:lang w:val="en-GB"/>
              </w:rPr>
              <w:t>)</w:t>
            </w:r>
            <w:r w:rsidR="000D35E2" w:rsidRPr="00CC0A9B">
              <w:rPr>
                <w:b/>
                <w:lang w:val="en-GB"/>
              </w:rPr>
              <w:t xml:space="preserve"> or documents of equivalent value</w:t>
            </w:r>
            <w:r w:rsidRPr="00CC0A9B">
              <w:rPr>
                <w:b/>
                <w:lang w:val="en-GB"/>
              </w:rPr>
              <w:t xml:space="preserve">. </w:t>
            </w:r>
            <w:r w:rsidR="000D35E2" w:rsidRPr="00CC0A9B">
              <w:rPr>
                <w:b/>
                <w:lang w:val="en-GB"/>
              </w:rPr>
              <w:t xml:space="preserve">For the </w:t>
            </w:r>
            <w:r w:rsidRPr="00CC0A9B">
              <w:rPr>
                <w:b/>
                <w:lang w:val="en-GB"/>
              </w:rPr>
              <w:t>situation described in point (1) (a), (b),</w:t>
            </w:r>
            <w:r w:rsidR="000D35E2" w:rsidRPr="00CC0A9B">
              <w:rPr>
                <w:b/>
                <w:lang w:val="en-GB"/>
              </w:rPr>
              <w:t xml:space="preserve"> acceptable evidence may be the “</w:t>
            </w:r>
            <w:proofErr w:type="spellStart"/>
            <w:r w:rsidR="000D35E2" w:rsidRPr="00CC0A9B">
              <w:rPr>
                <w:b/>
                <w:lang w:val="en-GB"/>
              </w:rPr>
              <w:t>Documento</w:t>
            </w:r>
            <w:proofErr w:type="spellEnd"/>
            <w:r w:rsidR="000D35E2" w:rsidRPr="00CC0A9B">
              <w:rPr>
                <w:b/>
                <w:lang w:val="en-GB"/>
              </w:rPr>
              <w:t xml:space="preserve"> Unico di </w:t>
            </w:r>
            <w:proofErr w:type="spellStart"/>
            <w:r w:rsidR="000D35E2" w:rsidRPr="00CC0A9B">
              <w:rPr>
                <w:b/>
                <w:lang w:val="en-GB"/>
              </w:rPr>
              <w:t>Regolarita</w:t>
            </w:r>
            <w:proofErr w:type="spellEnd"/>
            <w:r w:rsidR="000D35E2" w:rsidRPr="00CC0A9B">
              <w:rPr>
                <w:b/>
                <w:lang w:val="en-GB"/>
              </w:rPr>
              <w:t xml:space="preserve">’ </w:t>
            </w:r>
            <w:proofErr w:type="spellStart"/>
            <w:r w:rsidR="000D35E2" w:rsidRPr="00CC0A9B">
              <w:rPr>
                <w:b/>
                <w:lang w:val="en-GB"/>
              </w:rPr>
              <w:t>Fiscale</w:t>
            </w:r>
            <w:proofErr w:type="spellEnd"/>
            <w:r w:rsidR="000D35E2" w:rsidRPr="00CC0A9B">
              <w:rPr>
                <w:b/>
                <w:lang w:val="en-GB"/>
              </w:rPr>
              <w:t xml:space="preserve"> - DURF” issued by the Tax Authority and “</w:t>
            </w:r>
            <w:proofErr w:type="spellStart"/>
            <w:r w:rsidR="000D35E2" w:rsidRPr="00CC0A9B">
              <w:rPr>
                <w:b/>
                <w:lang w:val="en-GB"/>
              </w:rPr>
              <w:t>Documento</w:t>
            </w:r>
            <w:proofErr w:type="spellEnd"/>
            <w:r w:rsidR="000D35E2" w:rsidRPr="00CC0A9B">
              <w:rPr>
                <w:b/>
                <w:lang w:val="en-GB"/>
              </w:rPr>
              <w:t xml:space="preserve"> Unico di </w:t>
            </w:r>
            <w:proofErr w:type="spellStart"/>
            <w:r w:rsidR="000D35E2" w:rsidRPr="00CC0A9B">
              <w:rPr>
                <w:b/>
                <w:lang w:val="en-GB"/>
              </w:rPr>
              <w:t>Regolarita</w:t>
            </w:r>
            <w:proofErr w:type="spellEnd"/>
            <w:r w:rsidR="000D35E2" w:rsidRPr="00CC0A9B">
              <w:rPr>
                <w:b/>
                <w:lang w:val="en-GB"/>
              </w:rPr>
              <w:t xml:space="preserve">’ </w:t>
            </w:r>
            <w:proofErr w:type="spellStart"/>
            <w:r w:rsidR="000D35E2" w:rsidRPr="00CC0A9B">
              <w:rPr>
                <w:b/>
                <w:lang w:val="en-GB"/>
              </w:rPr>
              <w:t>Contributiva</w:t>
            </w:r>
            <w:proofErr w:type="spellEnd"/>
            <w:r w:rsidR="000D35E2" w:rsidRPr="00CC0A9B">
              <w:rPr>
                <w:b/>
                <w:lang w:val="en-GB"/>
              </w:rPr>
              <w:t xml:space="preserve"> - DURC” or documents of equivalent value.</w:t>
            </w:r>
          </w:p>
        </w:tc>
      </w:tr>
      <w:tr w:rsidR="004B4668" w:rsidRPr="00BB099C" w14:paraId="370FF444" w14:textId="77777777" w:rsidTr="00316541">
        <w:tc>
          <w:tcPr>
            <w:tcW w:w="3256" w:type="dxa"/>
          </w:tcPr>
          <w:p w14:paraId="43C4F357" w14:textId="7B7D56A4" w:rsidR="004B4668" w:rsidRPr="00CC0A9B" w:rsidRDefault="00316541">
            <w:pPr>
              <w:rPr>
                <w:lang w:val="en-GB"/>
              </w:rPr>
            </w:pPr>
            <w:r w:rsidRPr="00CC0A9B">
              <w:rPr>
                <w:b/>
                <w:lang w:val="en-GB"/>
              </w:rPr>
              <w:lastRenderedPageBreak/>
              <w:t>Q4</w:t>
            </w:r>
            <w:r w:rsidRPr="00CC0A9B">
              <w:rPr>
                <w:lang w:val="en-GB"/>
              </w:rPr>
              <w:t>. Financial reports and expenditure verification reports: art. 7.2-Point 4 of Annex II mentions "relevant invoices" and "supporting documents." What type of documentation is required as evidence of the incurred expenses?</w:t>
            </w:r>
          </w:p>
        </w:tc>
        <w:tc>
          <w:tcPr>
            <w:tcW w:w="5342" w:type="dxa"/>
          </w:tcPr>
          <w:p w14:paraId="1E45C611" w14:textId="7C82279A" w:rsidR="00316541" w:rsidRPr="00CC0A9B" w:rsidRDefault="00316541" w:rsidP="00BB099C">
            <w:pPr>
              <w:jc w:val="both"/>
              <w:rPr>
                <w:lang w:val="en-GB"/>
              </w:rPr>
            </w:pPr>
            <w:r w:rsidRPr="00CC0A9B">
              <w:rPr>
                <w:b/>
                <w:lang w:val="en-GB"/>
              </w:rPr>
              <w:t xml:space="preserve">A4. </w:t>
            </w:r>
            <w:r w:rsidRPr="00CC0A9B">
              <w:rPr>
                <w:lang w:val="en-GB"/>
              </w:rPr>
              <w:t>Evidence of the incurred expenditures is any document attesting that:</w:t>
            </w:r>
          </w:p>
          <w:p w14:paraId="5C4FA0ED" w14:textId="7AA4FCD4" w:rsidR="00340B7C" w:rsidRPr="00CC0A9B" w:rsidRDefault="00340B7C" w:rsidP="00BB099C">
            <w:pPr>
              <w:jc w:val="both"/>
              <w:rPr>
                <w:lang w:val="en-GB"/>
              </w:rPr>
            </w:pPr>
            <w:r w:rsidRPr="00CC0A9B">
              <w:rPr>
                <w:lang w:val="en-GB"/>
              </w:rPr>
              <w:t xml:space="preserve">(a) the experts employed by the contractor for the contract have been working as evidenced on the contract for the number of days claimed in the contractor's invoices and in the financial reporting spreadsheet submitted with the interim progress / final reports; and </w:t>
            </w:r>
          </w:p>
          <w:p w14:paraId="08174783" w14:textId="679896BD" w:rsidR="00117E0E" w:rsidRPr="00CC0A9B" w:rsidRDefault="00340B7C" w:rsidP="00BB099C">
            <w:pPr>
              <w:jc w:val="both"/>
              <w:rPr>
                <w:lang w:val="en-GB"/>
              </w:rPr>
            </w:pPr>
            <w:r w:rsidRPr="00CC0A9B">
              <w:rPr>
                <w:lang w:val="en-GB"/>
              </w:rPr>
              <w:t>(b) the amounts claimed as incidental expenditure have actually and necessarily been incurred by the contractor in accordance with the requirements of the terms of reference of the contract</w:t>
            </w:r>
            <w:r w:rsidR="00C824F3" w:rsidRPr="00CC0A9B">
              <w:rPr>
                <w:lang w:val="en-GB"/>
              </w:rPr>
              <w:t>.</w:t>
            </w:r>
          </w:p>
          <w:p w14:paraId="75B83681" w14:textId="0008A112" w:rsidR="00316541" w:rsidRPr="00CC0A9B" w:rsidRDefault="00117E0E" w:rsidP="00BB099C">
            <w:pPr>
              <w:jc w:val="both"/>
              <w:rPr>
                <w:lang w:val="en-GB"/>
              </w:rPr>
            </w:pPr>
            <w:r w:rsidRPr="00CC0A9B">
              <w:rPr>
                <w:b/>
                <w:lang w:val="en-GB"/>
              </w:rPr>
              <w:t xml:space="preserve">It should </w:t>
            </w:r>
            <w:r w:rsidR="00C327E6" w:rsidRPr="00CC0A9B">
              <w:rPr>
                <w:b/>
                <w:lang w:val="en-GB"/>
              </w:rPr>
              <w:t xml:space="preserve">however </w:t>
            </w:r>
            <w:r w:rsidRPr="00CC0A9B">
              <w:rPr>
                <w:b/>
                <w:lang w:val="en-GB"/>
              </w:rPr>
              <w:t xml:space="preserve">be noted that this </w:t>
            </w:r>
            <w:r w:rsidR="00C327E6" w:rsidRPr="00CC0A9B">
              <w:rPr>
                <w:b/>
                <w:lang w:val="en-GB"/>
              </w:rPr>
              <w:t>provision</w:t>
            </w:r>
            <w:r w:rsidRPr="00CC0A9B">
              <w:rPr>
                <w:b/>
                <w:lang w:val="en-GB"/>
              </w:rPr>
              <w:t xml:space="preserve"> refers to the supporting documents to be attached to the Interim and Final Financial Reports by the contracted service provider during the Service Contract </w:t>
            </w:r>
            <w:r w:rsidR="00C824F3" w:rsidRPr="00CC0A9B">
              <w:rPr>
                <w:b/>
                <w:lang w:val="en-GB"/>
              </w:rPr>
              <w:t>i</w:t>
            </w:r>
            <w:r w:rsidRPr="00CC0A9B">
              <w:rPr>
                <w:b/>
                <w:lang w:val="en-GB"/>
              </w:rPr>
              <w:t>mplementation and does not refer to the tendering phase.</w:t>
            </w:r>
          </w:p>
        </w:tc>
      </w:tr>
      <w:bookmarkEnd w:id="0"/>
      <w:tr w:rsidR="004B4668" w:rsidRPr="00BB099C" w14:paraId="6F251C7F" w14:textId="77777777" w:rsidTr="00316541">
        <w:tc>
          <w:tcPr>
            <w:tcW w:w="3256" w:type="dxa"/>
          </w:tcPr>
          <w:p w14:paraId="6AE67057" w14:textId="63506CEC" w:rsidR="004B4668" w:rsidRPr="00CC0A9B" w:rsidRDefault="00642B4E">
            <w:pPr>
              <w:rPr>
                <w:lang w:val="en-GB"/>
              </w:rPr>
            </w:pPr>
            <w:r w:rsidRPr="00CC0A9B">
              <w:rPr>
                <w:b/>
                <w:lang w:val="en-GB"/>
              </w:rPr>
              <w:t xml:space="preserve">Q5. </w:t>
            </w:r>
            <w:r w:rsidRPr="00CC0A9B">
              <w:rPr>
                <w:lang w:val="en-GB"/>
              </w:rPr>
              <w:t xml:space="preserve">Using the per diem rates indicated on the </w:t>
            </w:r>
            <w:proofErr w:type="spellStart"/>
            <w:r w:rsidRPr="00CC0A9B">
              <w:rPr>
                <w:lang w:val="en-GB"/>
              </w:rPr>
              <w:t>Europeaid</w:t>
            </w:r>
            <w:proofErr w:type="spellEnd"/>
            <w:r w:rsidRPr="00CC0A9B">
              <w:rPr>
                <w:lang w:val="en-GB"/>
              </w:rPr>
              <w:t xml:space="preserve"> website referenced in the call, and assuming an average cost of round-trip flights from Italy to </w:t>
            </w:r>
            <w:r w:rsidRPr="00CC0A9B">
              <w:rPr>
                <w:lang w:val="en-GB"/>
              </w:rPr>
              <w:lastRenderedPageBreak/>
              <w:t xml:space="preserve">Egypt is €450, the organization of the study visits required in the </w:t>
            </w:r>
            <w:proofErr w:type="spellStart"/>
            <w:r w:rsidRPr="00CC0A9B">
              <w:rPr>
                <w:lang w:val="en-GB"/>
              </w:rPr>
              <w:t>ToR</w:t>
            </w:r>
            <w:proofErr w:type="spellEnd"/>
            <w:r w:rsidRPr="00CC0A9B">
              <w:rPr>
                <w:lang w:val="en-GB"/>
              </w:rPr>
              <w:t xml:space="preserve"> alone amounts to €228,418, while the maximum provision for incidental expenditure is indicated as €203,920. Should we lower per diem rates to be used? Flights costs are very uncertain and may vary largely, and given the number of trips requested to Italy and needed for Egypt, this seems to be quite a relevant uncertainty.</w:t>
            </w:r>
          </w:p>
        </w:tc>
        <w:tc>
          <w:tcPr>
            <w:tcW w:w="5342" w:type="dxa"/>
          </w:tcPr>
          <w:p w14:paraId="2570B038" w14:textId="56EAF198" w:rsidR="004B4668" w:rsidRPr="00CC0A9B" w:rsidRDefault="00642B4E" w:rsidP="00BB099C">
            <w:pPr>
              <w:jc w:val="both"/>
              <w:rPr>
                <w:b/>
                <w:lang w:val="en-GB"/>
              </w:rPr>
            </w:pPr>
            <w:r w:rsidRPr="00CC0A9B">
              <w:rPr>
                <w:b/>
                <w:lang w:val="en-GB"/>
              </w:rPr>
              <w:lastRenderedPageBreak/>
              <w:t xml:space="preserve">A5. </w:t>
            </w:r>
            <w:r w:rsidRPr="00CC0A9B">
              <w:rPr>
                <w:lang w:val="en-GB"/>
              </w:rPr>
              <w:t>As stated in the Terms of Reference, section 6.5: “</w:t>
            </w:r>
            <w:r w:rsidRPr="00CC0A9B">
              <w:rPr>
                <w:i/>
                <w:lang w:val="en-GB"/>
              </w:rPr>
              <w:t xml:space="preserve">Any subsistence allowances to be paid for missions undertaken as part of this contract must not exceed the per diem rates published on the website </w:t>
            </w:r>
            <w:hyperlink r:id="rId6" w:history="1">
              <w:r w:rsidRPr="00CC0A9B">
                <w:rPr>
                  <w:rStyle w:val="Hyperlink"/>
                  <w:rFonts w:ascii="Times New Roman" w:hAnsi="Times New Roman"/>
                  <w:lang w:val="en-GB"/>
                </w:rPr>
                <w:t>http://ec.europa.eu/europeaid/funding/about-calls-</w:t>
              </w:r>
              <w:r w:rsidRPr="00CC0A9B">
                <w:rPr>
                  <w:rStyle w:val="Hyperlink"/>
                  <w:rFonts w:ascii="Times New Roman" w:hAnsi="Times New Roman"/>
                  <w:lang w:val="en-GB"/>
                </w:rPr>
                <w:lastRenderedPageBreak/>
                <w:t>tender/procedures-and-practical-guide-prag/diems_en</w:t>
              </w:r>
            </w:hyperlink>
            <w:r w:rsidRPr="00CC0A9B">
              <w:rPr>
                <w:lang w:val="en-GB"/>
              </w:rPr>
              <w:t xml:space="preserve">”. Therefore, the diem rates indicated on the </w:t>
            </w:r>
            <w:proofErr w:type="spellStart"/>
            <w:r w:rsidRPr="00CC0A9B">
              <w:rPr>
                <w:lang w:val="en-GB"/>
              </w:rPr>
              <w:t>Europeaid</w:t>
            </w:r>
            <w:proofErr w:type="spellEnd"/>
            <w:r w:rsidRPr="00CC0A9B">
              <w:rPr>
                <w:lang w:val="en-GB"/>
              </w:rPr>
              <w:t xml:space="preserve"> website must be considered a maximum amount, and a lower per diem </w:t>
            </w:r>
            <w:r w:rsidR="00C824F3" w:rsidRPr="00CC0A9B">
              <w:rPr>
                <w:lang w:val="en-GB"/>
              </w:rPr>
              <w:t>can</w:t>
            </w:r>
            <w:r w:rsidRPr="00CC0A9B">
              <w:rPr>
                <w:lang w:val="en-GB"/>
              </w:rPr>
              <w:t xml:space="preserve"> be applied during the service contract implementatio</w:t>
            </w:r>
            <w:r w:rsidR="00C824F3" w:rsidRPr="00CC0A9B">
              <w:rPr>
                <w:lang w:val="en-GB"/>
              </w:rPr>
              <w:t>n</w:t>
            </w:r>
            <w:r w:rsidRPr="00CC0A9B">
              <w:rPr>
                <w:lang w:val="en-GB"/>
              </w:rPr>
              <w:t>.</w:t>
            </w:r>
          </w:p>
        </w:tc>
      </w:tr>
      <w:tr w:rsidR="004B4668" w:rsidRPr="00BB099C" w14:paraId="58ED14A3" w14:textId="77777777" w:rsidTr="00316541">
        <w:tc>
          <w:tcPr>
            <w:tcW w:w="3256" w:type="dxa"/>
          </w:tcPr>
          <w:p w14:paraId="4445E4BB" w14:textId="4E67FA70" w:rsidR="004B4668" w:rsidRPr="00CC0A9B" w:rsidRDefault="004506D7">
            <w:pPr>
              <w:rPr>
                <w:lang w:val="en-GB"/>
              </w:rPr>
            </w:pPr>
            <w:r w:rsidRPr="00CC0A9B">
              <w:rPr>
                <w:b/>
                <w:lang w:val="en-GB"/>
              </w:rPr>
              <w:lastRenderedPageBreak/>
              <w:t>Q6.</w:t>
            </w:r>
            <w:r w:rsidRPr="00CC0A9B">
              <w:rPr>
                <w:lang w:val="en-GB"/>
              </w:rPr>
              <w:t xml:space="preserve"> </w:t>
            </w:r>
            <w:r w:rsidR="00BA3CD1" w:rsidRPr="00CC0A9B">
              <w:rPr>
                <w:lang w:val="en-GB"/>
              </w:rPr>
              <w:t>Do the flights/travel expenses of KE/NKE in Egypt always fall within the same amount of €203,920?</w:t>
            </w:r>
          </w:p>
        </w:tc>
        <w:tc>
          <w:tcPr>
            <w:tcW w:w="5342" w:type="dxa"/>
          </w:tcPr>
          <w:p w14:paraId="4864AA7B" w14:textId="3BAC455B" w:rsidR="004506D7" w:rsidRPr="00CC0A9B" w:rsidRDefault="004506D7" w:rsidP="00BB099C">
            <w:pPr>
              <w:keepNext/>
              <w:keepLines/>
              <w:jc w:val="both"/>
              <w:rPr>
                <w:lang w:val="en-GB"/>
              </w:rPr>
            </w:pPr>
            <w:r w:rsidRPr="00CC0A9B">
              <w:rPr>
                <w:b/>
                <w:lang w:val="en-GB"/>
              </w:rPr>
              <w:t>A6.</w:t>
            </w:r>
            <w:r w:rsidRPr="00CC0A9B">
              <w:rPr>
                <w:color w:val="FF0000"/>
                <w:lang w:val="en-GB"/>
              </w:rPr>
              <w:t xml:space="preserve"> </w:t>
            </w:r>
            <w:r w:rsidRPr="00CC0A9B">
              <w:rPr>
                <w:lang w:val="en-GB"/>
              </w:rPr>
              <w:t xml:space="preserve">For KEs and NKEs, </w:t>
            </w:r>
            <w:r w:rsidR="00C824F3" w:rsidRPr="00CC0A9B">
              <w:rPr>
                <w:lang w:val="en-GB"/>
              </w:rPr>
              <w:t xml:space="preserve">incidentals cover only </w:t>
            </w:r>
            <w:r w:rsidRPr="00CC0A9B">
              <w:rPr>
                <w:lang w:val="en-GB"/>
              </w:rPr>
              <w:t>“travel costs and subsistence allowances for missions outside the normal places of posting, undertaken as part of this contract”. The normal places of posting for this Contract are Egypt (in Cairo and in RLC at Badr City) &amp; Italy., as indicated in section 5.1.</w:t>
            </w:r>
            <w:r w:rsidR="00F35AE8" w:rsidRPr="00CC0A9B">
              <w:rPr>
                <w:lang w:val="en-GB"/>
              </w:rPr>
              <w:t xml:space="preserve"> </w:t>
            </w:r>
          </w:p>
        </w:tc>
      </w:tr>
      <w:tr w:rsidR="004B4668" w:rsidRPr="00BB099C" w14:paraId="3BA762E9" w14:textId="77777777" w:rsidTr="00316541">
        <w:tc>
          <w:tcPr>
            <w:tcW w:w="3256" w:type="dxa"/>
          </w:tcPr>
          <w:p w14:paraId="19BDF42B" w14:textId="4B9A09E9" w:rsidR="005348A4" w:rsidRPr="00CC0A9B" w:rsidRDefault="005348A4" w:rsidP="005348A4">
            <w:pPr>
              <w:rPr>
                <w:lang w:val="en-GB"/>
              </w:rPr>
            </w:pPr>
            <w:r w:rsidRPr="00CC0A9B">
              <w:rPr>
                <w:b/>
                <w:lang w:val="en-GB"/>
              </w:rPr>
              <w:t>Q7.</w:t>
            </w:r>
            <w:r w:rsidRPr="00CC0A9B">
              <w:rPr>
                <w:lang w:val="en-GB"/>
              </w:rPr>
              <w:t xml:space="preserve"> TASK B.1 - Only a Lump sum is the eligible expenditure? Shouldn't the WD of KE/NKE be included? Does the indication on page 17 regarding Minimum WD for B1 and B2 (289) apply only to B2?</w:t>
            </w:r>
          </w:p>
          <w:p w14:paraId="6171E5D3" w14:textId="77777777" w:rsidR="005348A4" w:rsidRPr="00CC0A9B" w:rsidRDefault="005348A4" w:rsidP="005348A4">
            <w:pPr>
              <w:rPr>
                <w:lang w:val="en-GB"/>
              </w:rPr>
            </w:pPr>
          </w:p>
          <w:p w14:paraId="274CE280" w14:textId="6F7B1F6F" w:rsidR="005348A4" w:rsidRPr="00CC0A9B" w:rsidRDefault="005348A4" w:rsidP="005348A4">
            <w:pPr>
              <w:rPr>
                <w:lang w:val="en-GB"/>
              </w:rPr>
            </w:pPr>
            <w:r w:rsidRPr="00CC0A9B">
              <w:rPr>
                <w:lang w:val="en-GB"/>
              </w:rPr>
              <w:t>TASK E.1 - Same question as for B.1. We ask because in all other tasks, payment of both key experts and non-key experts is explicitly provided.</w:t>
            </w:r>
          </w:p>
          <w:p w14:paraId="47D29553" w14:textId="38907AA6" w:rsidR="004B4668" w:rsidRPr="00CC0A9B" w:rsidRDefault="004B4668">
            <w:pPr>
              <w:rPr>
                <w:b/>
                <w:lang w:val="en-GB"/>
              </w:rPr>
            </w:pPr>
          </w:p>
        </w:tc>
        <w:tc>
          <w:tcPr>
            <w:tcW w:w="5342" w:type="dxa"/>
          </w:tcPr>
          <w:p w14:paraId="5CE57C16" w14:textId="7EF174C5" w:rsidR="005348A4" w:rsidRPr="00CC0A9B" w:rsidRDefault="005348A4" w:rsidP="00BB099C">
            <w:pPr>
              <w:jc w:val="both"/>
              <w:rPr>
                <w:lang w:val="en-GB"/>
              </w:rPr>
            </w:pPr>
            <w:r w:rsidRPr="00CC0A9B">
              <w:rPr>
                <w:b/>
                <w:lang w:val="en-GB"/>
              </w:rPr>
              <w:t xml:space="preserve">A7. </w:t>
            </w:r>
            <w:r w:rsidRPr="00CC0A9B">
              <w:rPr>
                <w:lang w:val="en-GB"/>
              </w:rPr>
              <w:t>All costs incurred when implementing the Task B.1 and the Task E1 will be eligible as lump sum.</w:t>
            </w:r>
            <w:r w:rsidR="00751BE8" w:rsidRPr="00CC0A9B">
              <w:rPr>
                <w:lang w:val="en-GB"/>
              </w:rPr>
              <w:t xml:space="preserve"> </w:t>
            </w:r>
          </w:p>
          <w:p w14:paraId="6CF7B188" w14:textId="77777777" w:rsidR="005348A4" w:rsidRPr="00CC0A9B" w:rsidRDefault="005348A4" w:rsidP="00BB099C">
            <w:pPr>
              <w:jc w:val="both"/>
              <w:rPr>
                <w:lang w:val="en-GB"/>
              </w:rPr>
            </w:pPr>
          </w:p>
          <w:p w14:paraId="42C0E5D4" w14:textId="06011D2E" w:rsidR="00751BE8" w:rsidRPr="00CC0A9B" w:rsidRDefault="005348A4" w:rsidP="00BB099C">
            <w:pPr>
              <w:jc w:val="both"/>
              <w:rPr>
                <w:lang w:val="en-GB"/>
              </w:rPr>
            </w:pPr>
            <w:r w:rsidRPr="00CC0A9B">
              <w:rPr>
                <w:lang w:val="en-GB"/>
              </w:rPr>
              <w:t xml:space="preserve">For activity B, the minimum number of 289 WD refers to Task B1 </w:t>
            </w:r>
            <w:r w:rsidRPr="00CC0A9B">
              <w:rPr>
                <w:u w:val="single"/>
                <w:lang w:val="en-GB"/>
              </w:rPr>
              <w:t>and</w:t>
            </w:r>
            <w:r w:rsidRPr="00CC0A9B">
              <w:rPr>
                <w:lang w:val="en-GB"/>
              </w:rPr>
              <w:t xml:space="preserve"> Task B2. </w:t>
            </w:r>
          </w:p>
          <w:p w14:paraId="1D2EA879" w14:textId="77777777" w:rsidR="00694523" w:rsidRPr="00CC0A9B" w:rsidRDefault="00751BE8" w:rsidP="00BB099C">
            <w:pPr>
              <w:jc w:val="both"/>
              <w:rPr>
                <w:lang w:val="en-GB"/>
              </w:rPr>
            </w:pPr>
            <w:r w:rsidRPr="00CC0A9B">
              <w:rPr>
                <w:lang w:val="en-GB"/>
              </w:rPr>
              <w:t>To be noted that, in the financial offer</w:t>
            </w:r>
            <w:r w:rsidR="00694523" w:rsidRPr="00CC0A9B">
              <w:rPr>
                <w:lang w:val="en-GB"/>
              </w:rPr>
              <w:t>:</w:t>
            </w:r>
          </w:p>
          <w:p w14:paraId="0327DB1B" w14:textId="28F6F62C" w:rsidR="00694523" w:rsidRPr="00CC0A9B" w:rsidRDefault="00751BE8" w:rsidP="00BB099C">
            <w:pPr>
              <w:pStyle w:val="ListParagraph"/>
              <w:numPr>
                <w:ilvl w:val="0"/>
                <w:numId w:val="6"/>
              </w:numPr>
              <w:jc w:val="both"/>
              <w:rPr>
                <w:lang w:val="en-GB"/>
              </w:rPr>
            </w:pPr>
            <w:r w:rsidRPr="00CC0A9B">
              <w:rPr>
                <w:lang w:val="en-GB"/>
              </w:rPr>
              <w:t>the cost related to working days allocated to task B2 will be included in section 1 – Fees</w:t>
            </w:r>
            <w:r w:rsidR="00694523" w:rsidRPr="00CC0A9B">
              <w:rPr>
                <w:lang w:val="en-GB"/>
              </w:rPr>
              <w:t>,</w:t>
            </w:r>
            <w:r w:rsidRPr="00CC0A9B">
              <w:rPr>
                <w:lang w:val="en-GB"/>
              </w:rPr>
              <w:t xml:space="preserve"> and</w:t>
            </w:r>
          </w:p>
          <w:p w14:paraId="5C5BA95D" w14:textId="2D544A1A" w:rsidR="005348A4" w:rsidRPr="00CC0A9B" w:rsidRDefault="00751BE8" w:rsidP="00BB099C">
            <w:pPr>
              <w:pStyle w:val="ListParagraph"/>
              <w:numPr>
                <w:ilvl w:val="0"/>
                <w:numId w:val="6"/>
              </w:numPr>
              <w:jc w:val="both"/>
              <w:rPr>
                <w:lang w:val="en-GB"/>
              </w:rPr>
            </w:pPr>
            <w:r w:rsidRPr="00CC0A9B">
              <w:rPr>
                <w:lang w:val="en-GB"/>
              </w:rPr>
              <w:t xml:space="preserve">the, the cost related to working days allocated to task B1 will be included in section 6 – Lump Sum. </w:t>
            </w:r>
          </w:p>
          <w:p w14:paraId="74B76B97" w14:textId="77DF2585" w:rsidR="00751BE8" w:rsidRPr="00CC0A9B" w:rsidRDefault="00BF2717" w:rsidP="00BB099C">
            <w:pPr>
              <w:jc w:val="both"/>
              <w:rPr>
                <w:lang w:val="en-GB"/>
              </w:rPr>
            </w:pPr>
            <w:r w:rsidRPr="00CC0A9B">
              <w:rPr>
                <w:lang w:val="en-GB"/>
              </w:rPr>
              <w:t>The</w:t>
            </w:r>
            <w:r w:rsidR="008B778B" w:rsidRPr="00CC0A9B">
              <w:rPr>
                <w:lang w:val="en-GB"/>
              </w:rPr>
              <w:t xml:space="preserve"> planned</w:t>
            </w:r>
            <w:r w:rsidRPr="00CC0A9B">
              <w:rPr>
                <w:lang w:val="en-GB"/>
              </w:rPr>
              <w:t xml:space="preserve"> number of KE and NKE WD for tasks B1 and E1 shall be indicated in the technical offer.</w:t>
            </w:r>
          </w:p>
        </w:tc>
      </w:tr>
      <w:tr w:rsidR="00694523" w:rsidRPr="00BB099C" w14:paraId="31BE2879" w14:textId="77777777" w:rsidTr="00316541">
        <w:tc>
          <w:tcPr>
            <w:tcW w:w="3256" w:type="dxa"/>
          </w:tcPr>
          <w:p w14:paraId="48A37DC6" w14:textId="474035E7" w:rsidR="00694523" w:rsidRPr="00CC0A9B" w:rsidRDefault="00694523" w:rsidP="00694523">
            <w:pPr>
              <w:rPr>
                <w:lang w:val="en-GB"/>
              </w:rPr>
            </w:pPr>
            <w:r w:rsidRPr="00CC0A9B">
              <w:rPr>
                <w:b/>
                <w:lang w:val="en-GB"/>
              </w:rPr>
              <w:t xml:space="preserve">Q8. </w:t>
            </w:r>
            <w:r w:rsidRPr="00CC0A9B">
              <w:rPr>
                <w:lang w:val="en-GB"/>
              </w:rPr>
              <w:t xml:space="preserve">Should any sub-contractors be identified before submitting the offer, or can they be indicated later? In particular, should all non-key experts also be specified (Name and Surname)? Point 3, par. II of annex III states, "A description of any subcontracting arrangements – including sub-contracting only aiming at making available key and non-key experts - and sub-contracting with capacity providers (if such were identified during the shortlisting stage)." With the underlined clarification, does this mean that subsequent identification </w:t>
            </w:r>
            <w:r w:rsidRPr="00CC0A9B">
              <w:rPr>
                <w:lang w:val="en-GB"/>
              </w:rPr>
              <w:lastRenderedPageBreak/>
              <w:t>of subcontractors is also allowed?</w:t>
            </w:r>
          </w:p>
          <w:p w14:paraId="2D1098AA" w14:textId="03A0BDF1" w:rsidR="00694523" w:rsidRPr="00CC0A9B" w:rsidRDefault="00694523" w:rsidP="005348A4">
            <w:pPr>
              <w:rPr>
                <w:b/>
                <w:lang w:val="en-GB"/>
              </w:rPr>
            </w:pPr>
          </w:p>
        </w:tc>
        <w:tc>
          <w:tcPr>
            <w:tcW w:w="5342" w:type="dxa"/>
          </w:tcPr>
          <w:p w14:paraId="4F6EDB3A" w14:textId="77777777" w:rsidR="00694523" w:rsidRPr="00CC0A9B" w:rsidRDefault="00694523" w:rsidP="00BB099C">
            <w:pPr>
              <w:jc w:val="both"/>
              <w:rPr>
                <w:lang w:val="en-GB"/>
              </w:rPr>
            </w:pPr>
            <w:r w:rsidRPr="00CC0A9B">
              <w:rPr>
                <w:b/>
                <w:lang w:val="en-GB"/>
              </w:rPr>
              <w:lastRenderedPageBreak/>
              <w:t>A8.</w:t>
            </w:r>
            <w:r w:rsidRPr="00CC0A9B">
              <w:rPr>
                <w:lang w:val="en-GB"/>
              </w:rPr>
              <w:t xml:space="preserve"> </w:t>
            </w:r>
            <w:r w:rsidR="00BF2717" w:rsidRPr="00CC0A9B">
              <w:rPr>
                <w:lang w:val="en-GB"/>
              </w:rPr>
              <w:t xml:space="preserve">As recalled in the question Q8, the Annex III – Organization and methodology requires to describe the sub-contracting arrangements and the tasks that will entrusted to sub-contractors. </w:t>
            </w:r>
          </w:p>
          <w:p w14:paraId="1E9F42F6" w14:textId="50D5BD34" w:rsidR="005511ED" w:rsidRPr="00CC0A9B" w:rsidRDefault="00121730" w:rsidP="00BB099C">
            <w:pPr>
              <w:jc w:val="both"/>
              <w:rPr>
                <w:lang w:val="en-GB"/>
              </w:rPr>
            </w:pPr>
            <w:r w:rsidRPr="00CC0A9B">
              <w:rPr>
                <w:lang w:val="en-GB"/>
              </w:rPr>
              <w:t>At the same time</w:t>
            </w:r>
            <w:r w:rsidR="005511ED" w:rsidRPr="00CC0A9B">
              <w:rPr>
                <w:lang w:val="en-GB"/>
              </w:rPr>
              <w:t>, the Instructions for Tenderers, section 3, point (h) stipulate that: “</w:t>
            </w:r>
            <w:r w:rsidR="005511ED" w:rsidRPr="00CC0A9B">
              <w:rPr>
                <w:i/>
                <w:lang w:val="en-GB"/>
              </w:rPr>
              <w:t>If the identity of the intended subcontractor is already known at the time of submitting the tender, the tenderer must furnish a statement guaranteeing the eligibility of the subcontractor</w:t>
            </w:r>
            <w:r w:rsidR="005511ED" w:rsidRPr="00CC0A9B">
              <w:rPr>
                <w:lang w:val="en-GB"/>
              </w:rPr>
              <w:t>”. Therefore, the tenderer</w:t>
            </w:r>
            <w:r w:rsidR="00FF26C9" w:rsidRPr="00CC0A9B">
              <w:rPr>
                <w:lang w:val="en-GB"/>
              </w:rPr>
              <w:t>s</w:t>
            </w:r>
            <w:r w:rsidR="005511ED" w:rsidRPr="00CC0A9B">
              <w:rPr>
                <w:lang w:val="en-GB"/>
              </w:rPr>
              <w:t>:</w:t>
            </w:r>
          </w:p>
          <w:p w14:paraId="0FD2606C" w14:textId="74863DD9" w:rsidR="00121730" w:rsidRPr="00CC0A9B" w:rsidRDefault="00121730" w:rsidP="00BB099C">
            <w:pPr>
              <w:pStyle w:val="ListParagraph"/>
              <w:numPr>
                <w:ilvl w:val="0"/>
                <w:numId w:val="10"/>
              </w:numPr>
              <w:jc w:val="both"/>
              <w:rPr>
                <w:lang w:val="en-GB"/>
              </w:rPr>
            </w:pPr>
            <w:r w:rsidRPr="00CC0A9B">
              <w:rPr>
                <w:lang w:val="en-GB"/>
              </w:rPr>
              <w:t>are required to indicate in the bid which tasks they intend to subcontract, if any;</w:t>
            </w:r>
          </w:p>
          <w:p w14:paraId="14DFE5FC" w14:textId="77777777" w:rsidR="00121730" w:rsidRPr="00CC0A9B" w:rsidRDefault="00121730" w:rsidP="00BB099C">
            <w:pPr>
              <w:pStyle w:val="ListParagraph"/>
              <w:numPr>
                <w:ilvl w:val="0"/>
                <w:numId w:val="10"/>
              </w:numPr>
              <w:jc w:val="both"/>
              <w:rPr>
                <w:lang w:val="en-GB"/>
              </w:rPr>
            </w:pPr>
            <w:r w:rsidRPr="00CC0A9B">
              <w:rPr>
                <w:lang w:val="en-GB"/>
              </w:rPr>
              <w:t>are required to present in the bid the information sub-contracting arrangements that they have at the moment of tender submission;</w:t>
            </w:r>
          </w:p>
          <w:p w14:paraId="3FD718E4" w14:textId="6C86AA31" w:rsidR="00121730" w:rsidRPr="00CC0A9B" w:rsidRDefault="00121730" w:rsidP="00BB099C">
            <w:pPr>
              <w:pStyle w:val="ListParagraph"/>
              <w:ind w:left="784"/>
              <w:jc w:val="both"/>
              <w:rPr>
                <w:lang w:val="en-GB"/>
              </w:rPr>
            </w:pPr>
            <w:r w:rsidRPr="00CC0A9B">
              <w:rPr>
                <w:lang w:val="en-GB"/>
              </w:rPr>
              <w:t>but</w:t>
            </w:r>
          </w:p>
          <w:p w14:paraId="46676E53" w14:textId="482CAA18" w:rsidR="005511ED" w:rsidRPr="00CC0A9B" w:rsidRDefault="005511ED" w:rsidP="00BB099C">
            <w:pPr>
              <w:pStyle w:val="ListParagraph"/>
              <w:numPr>
                <w:ilvl w:val="0"/>
                <w:numId w:val="10"/>
              </w:numPr>
              <w:jc w:val="both"/>
              <w:rPr>
                <w:lang w:val="en-GB"/>
              </w:rPr>
            </w:pPr>
            <w:r w:rsidRPr="00CC0A9B">
              <w:rPr>
                <w:lang w:val="en-GB"/>
              </w:rPr>
              <w:t>can identify sub-contractors also after submitting the tender</w:t>
            </w:r>
            <w:r w:rsidR="00121730" w:rsidRPr="00CC0A9B">
              <w:rPr>
                <w:lang w:val="en-GB"/>
              </w:rPr>
              <w:t>.</w:t>
            </w:r>
          </w:p>
          <w:p w14:paraId="351AEDF4" w14:textId="4CAD2978" w:rsidR="00B222DF" w:rsidRPr="00CC0A9B" w:rsidRDefault="00BB1C63" w:rsidP="00BB099C">
            <w:pPr>
              <w:jc w:val="both"/>
              <w:rPr>
                <w:lang w:val="en-GB"/>
              </w:rPr>
            </w:pPr>
            <w:r w:rsidRPr="00CC0A9B">
              <w:rPr>
                <w:lang w:val="en-GB"/>
              </w:rPr>
              <w:lastRenderedPageBreak/>
              <w:t xml:space="preserve">For what concerns </w:t>
            </w:r>
            <w:r w:rsidR="00B222DF" w:rsidRPr="00CC0A9B">
              <w:rPr>
                <w:lang w:val="en-GB"/>
              </w:rPr>
              <w:t xml:space="preserve">the Key Experts and Non-Key Experts, </w:t>
            </w:r>
            <w:r w:rsidRPr="00CC0A9B">
              <w:rPr>
                <w:lang w:val="en-GB"/>
              </w:rPr>
              <w:t xml:space="preserve">it is reminded that </w:t>
            </w:r>
            <w:r w:rsidR="00B222DF" w:rsidRPr="00CC0A9B">
              <w:rPr>
                <w:lang w:val="en-GB"/>
              </w:rPr>
              <w:t xml:space="preserve">Instructions </w:t>
            </w:r>
            <w:r w:rsidR="00121730" w:rsidRPr="00CC0A9B">
              <w:rPr>
                <w:lang w:val="en-GB"/>
              </w:rPr>
              <w:t>to</w:t>
            </w:r>
            <w:r w:rsidR="00B222DF" w:rsidRPr="00CC0A9B">
              <w:rPr>
                <w:lang w:val="en-GB"/>
              </w:rPr>
              <w:t xml:space="preserve"> tenderers, Section 3, point (j) stipulate that “</w:t>
            </w:r>
            <w:r w:rsidR="00B222DF" w:rsidRPr="00CC0A9B">
              <w:rPr>
                <w:i/>
                <w:lang w:val="en-GB"/>
              </w:rPr>
              <w:t xml:space="preserve">for the avoidance of doubt, where the experts are </w:t>
            </w:r>
            <w:r w:rsidR="00B222DF" w:rsidRPr="00CC0A9B">
              <w:rPr>
                <w:i/>
                <w:u w:val="single"/>
                <w:lang w:val="en-GB"/>
              </w:rPr>
              <w:t>not directly employed or contracted by the tenderer/contractor</w:t>
            </w:r>
            <w:r w:rsidR="00B222DF" w:rsidRPr="00CC0A9B">
              <w:rPr>
                <w:i/>
                <w:lang w:val="en-GB"/>
              </w:rPr>
              <w:t xml:space="preserve"> </w:t>
            </w:r>
            <w:r w:rsidR="00B222DF" w:rsidRPr="00CC0A9B">
              <w:rPr>
                <w:i/>
                <w:u w:val="single"/>
                <w:lang w:val="en-GB"/>
              </w:rPr>
              <w:t>but through a third party</w:t>
            </w:r>
            <w:r w:rsidR="00B222DF" w:rsidRPr="00CC0A9B">
              <w:rPr>
                <w:i/>
                <w:lang w:val="en-GB"/>
              </w:rPr>
              <w:t>, the latter is a sub-contractor</w:t>
            </w:r>
            <w:r w:rsidR="00B222DF" w:rsidRPr="00CC0A9B">
              <w:rPr>
                <w:lang w:val="en-GB"/>
              </w:rPr>
              <w:t>.”.</w:t>
            </w:r>
            <w:r w:rsidRPr="00CC0A9B">
              <w:rPr>
                <w:lang w:val="en-GB"/>
              </w:rPr>
              <w:t xml:space="preserve"> </w:t>
            </w:r>
          </w:p>
          <w:p w14:paraId="17AE1D0C" w14:textId="77777777" w:rsidR="00BB1C63" w:rsidRPr="00CC0A9B" w:rsidRDefault="00BB1C63" w:rsidP="00BB099C">
            <w:pPr>
              <w:jc w:val="both"/>
              <w:rPr>
                <w:lang w:val="en-GB"/>
              </w:rPr>
            </w:pPr>
          </w:p>
          <w:p w14:paraId="70BD85AD" w14:textId="6353E8A1" w:rsidR="00B222DF" w:rsidRPr="00CC0A9B" w:rsidRDefault="00FF26C9" w:rsidP="00BB099C">
            <w:pPr>
              <w:tabs>
                <w:tab w:val="left" w:pos="352"/>
              </w:tabs>
              <w:jc w:val="both"/>
              <w:rPr>
                <w:lang w:val="en-GB"/>
              </w:rPr>
            </w:pPr>
            <w:r w:rsidRPr="00CC0A9B">
              <w:rPr>
                <w:lang w:val="en-GB"/>
              </w:rPr>
              <w:t xml:space="preserve">As </w:t>
            </w:r>
            <w:r w:rsidR="00BB1C63" w:rsidRPr="00CC0A9B">
              <w:rPr>
                <w:lang w:val="en-GB"/>
              </w:rPr>
              <w:t>stated</w:t>
            </w:r>
            <w:r w:rsidRPr="00CC0A9B">
              <w:rPr>
                <w:lang w:val="en-GB"/>
              </w:rPr>
              <w:t xml:space="preserve"> by Annex II – Terms of Reference, Section 6.1.2 – </w:t>
            </w:r>
            <w:r w:rsidR="00A07036" w:rsidRPr="00CC0A9B">
              <w:rPr>
                <w:lang w:val="en-GB"/>
              </w:rPr>
              <w:t>Non-Key</w:t>
            </w:r>
            <w:r w:rsidRPr="00CC0A9B">
              <w:rPr>
                <w:lang w:val="en-GB"/>
              </w:rPr>
              <w:t>-Experts “</w:t>
            </w:r>
            <w:r w:rsidRPr="00CC0A9B">
              <w:rPr>
                <w:i/>
                <w:lang w:val="en-GB"/>
              </w:rPr>
              <w:t xml:space="preserve">In the Organization and Methodology the tenderer </w:t>
            </w:r>
            <w:r w:rsidRPr="00CC0A9B">
              <w:rPr>
                <w:i/>
                <w:u w:val="single"/>
                <w:lang w:val="en-GB"/>
              </w:rPr>
              <w:t>i</w:t>
            </w:r>
            <w:r w:rsidRPr="00CC0A9B">
              <w:rPr>
                <w:i/>
                <w:lang w:val="en-GB"/>
              </w:rPr>
              <w:t>s required to identify the</w:t>
            </w:r>
            <w:r w:rsidRPr="00CC0A9B">
              <w:rPr>
                <w:i/>
                <w:u w:val="single"/>
                <w:lang w:val="en-GB"/>
              </w:rPr>
              <w:t xml:space="preserve"> Non-Key Experts’ profiles</w:t>
            </w:r>
            <w:r w:rsidRPr="00CC0A9B">
              <w:rPr>
                <w:i/>
                <w:lang w:val="en-GB"/>
              </w:rPr>
              <w:t xml:space="preserve">. </w:t>
            </w:r>
            <w:r w:rsidRPr="00CC0A9B">
              <w:rPr>
                <w:i/>
                <w:u w:val="single"/>
                <w:lang w:val="en-GB"/>
              </w:rPr>
              <w:t>CVs f</w:t>
            </w:r>
            <w:r w:rsidRPr="00CC0A9B">
              <w:rPr>
                <w:i/>
                <w:lang w:val="en-GB"/>
              </w:rPr>
              <w:t xml:space="preserve">or non-key experts </w:t>
            </w:r>
            <w:r w:rsidRPr="00CC0A9B">
              <w:rPr>
                <w:i/>
                <w:u w:val="single"/>
                <w:lang w:val="en-GB"/>
              </w:rPr>
              <w:t>should not be submitted</w:t>
            </w:r>
            <w:r w:rsidRPr="00CC0A9B">
              <w:rPr>
                <w:i/>
                <w:lang w:val="en-GB"/>
              </w:rPr>
              <w:t xml:space="preserve"> in the tender </w:t>
            </w:r>
            <w:r w:rsidRPr="00CC0A9B">
              <w:rPr>
                <w:lang w:val="en-GB"/>
              </w:rPr>
              <w:t>(and are not subject to evaluation by the evaluation committee)”.</w:t>
            </w:r>
            <w:r w:rsidR="00121730" w:rsidRPr="00CC0A9B">
              <w:rPr>
                <w:lang w:val="en-GB"/>
              </w:rPr>
              <w:t xml:space="preserve"> Names associated to each NKE profile can be indicated but are not requested.</w:t>
            </w:r>
          </w:p>
        </w:tc>
      </w:tr>
      <w:tr w:rsidR="00BB1C63" w:rsidRPr="00BB099C" w14:paraId="48667C82" w14:textId="77777777" w:rsidTr="00316541">
        <w:tc>
          <w:tcPr>
            <w:tcW w:w="3256" w:type="dxa"/>
          </w:tcPr>
          <w:p w14:paraId="6E896521" w14:textId="57D9BCBE" w:rsidR="00BB1C63" w:rsidRPr="00CC0A9B" w:rsidRDefault="00BB1C63" w:rsidP="00BB1C63">
            <w:pPr>
              <w:rPr>
                <w:lang w:val="en-GB"/>
              </w:rPr>
            </w:pPr>
            <w:r w:rsidRPr="00CC0A9B">
              <w:rPr>
                <w:b/>
                <w:lang w:val="en-GB"/>
              </w:rPr>
              <w:lastRenderedPageBreak/>
              <w:t>Q9.</w:t>
            </w:r>
            <w:r w:rsidRPr="00CC0A9B">
              <w:rPr>
                <w:lang w:val="en-GB"/>
              </w:rPr>
              <w:t xml:space="preserve"> Point 6.1.2. of annex II: Must non-key experts be identified through a public procurement procedure applying the PRAG rules (if the contract value is less than or equal to €2,500, no tender procedure is required, otherwise it is), or can they be nominated autonomously by the bidders?</w:t>
            </w:r>
          </w:p>
          <w:p w14:paraId="5E4883E5" w14:textId="77777777" w:rsidR="00BB1C63" w:rsidRPr="00CC0A9B" w:rsidRDefault="00BB1C63" w:rsidP="00694523">
            <w:pPr>
              <w:rPr>
                <w:b/>
                <w:lang w:val="en-GB"/>
              </w:rPr>
            </w:pPr>
          </w:p>
        </w:tc>
        <w:tc>
          <w:tcPr>
            <w:tcW w:w="5342" w:type="dxa"/>
          </w:tcPr>
          <w:p w14:paraId="051A1CC8" w14:textId="7EB5E0B0" w:rsidR="00BB1C63" w:rsidRPr="00CC0A9B" w:rsidRDefault="00BB1C63" w:rsidP="00BB099C">
            <w:pPr>
              <w:jc w:val="both"/>
              <w:rPr>
                <w:b/>
                <w:lang w:val="en-GB"/>
              </w:rPr>
            </w:pPr>
            <w:r w:rsidRPr="00CC0A9B">
              <w:rPr>
                <w:b/>
                <w:lang w:val="en-GB"/>
              </w:rPr>
              <w:t xml:space="preserve">A9. </w:t>
            </w:r>
            <w:r w:rsidR="00E70C9C" w:rsidRPr="00CC0A9B">
              <w:rPr>
                <w:lang w:val="en-GB"/>
              </w:rPr>
              <w:t>In compliance with the</w:t>
            </w:r>
            <w:r w:rsidR="00E70C9C" w:rsidRPr="00CC0A9B">
              <w:rPr>
                <w:b/>
                <w:lang w:val="en-GB"/>
              </w:rPr>
              <w:t xml:space="preserve"> </w:t>
            </w:r>
            <w:r w:rsidR="00E70C9C" w:rsidRPr="00CC0A9B">
              <w:rPr>
                <w:lang w:val="en-GB"/>
              </w:rPr>
              <w:t xml:space="preserve">Annex II – Terms of Reference, Section 6.1.2 – </w:t>
            </w:r>
            <w:r w:rsidR="00A07036" w:rsidRPr="00CC0A9B">
              <w:rPr>
                <w:lang w:val="en-GB"/>
              </w:rPr>
              <w:t>Non-Key</w:t>
            </w:r>
            <w:r w:rsidR="00E70C9C" w:rsidRPr="00CC0A9B">
              <w:rPr>
                <w:lang w:val="en-GB"/>
              </w:rPr>
              <w:t xml:space="preserve">-Experts “the </w:t>
            </w:r>
            <w:r w:rsidR="00E70C9C" w:rsidRPr="00CC0A9B">
              <w:rPr>
                <w:i/>
                <w:lang w:val="en-GB"/>
              </w:rPr>
              <w:t>tenderer will have to demonstrate in their offer that it ha</w:t>
            </w:r>
            <w:r w:rsidR="00121730" w:rsidRPr="00CC0A9B">
              <w:rPr>
                <w:i/>
                <w:lang w:val="en-GB"/>
              </w:rPr>
              <w:t>s</w:t>
            </w:r>
            <w:r w:rsidR="00E70C9C" w:rsidRPr="00CC0A9B">
              <w:rPr>
                <w:i/>
                <w:lang w:val="en-GB"/>
              </w:rPr>
              <w:t xml:space="preserve"> access to experts with the required profiles”. </w:t>
            </w:r>
            <w:r w:rsidR="00E70C9C" w:rsidRPr="00CC0A9B">
              <w:rPr>
                <w:lang w:val="en-GB"/>
              </w:rPr>
              <w:t>During service contract implementation, the</w:t>
            </w:r>
            <w:r w:rsidR="00E70C9C" w:rsidRPr="00CC0A9B">
              <w:rPr>
                <w:i/>
                <w:lang w:val="en-GB"/>
              </w:rPr>
              <w:t xml:space="preserve"> </w:t>
            </w:r>
            <w:r w:rsidRPr="00CC0A9B">
              <w:rPr>
                <w:lang w:val="en-GB"/>
              </w:rPr>
              <w:t>Contractor will</w:t>
            </w:r>
            <w:r w:rsidR="00E70C9C" w:rsidRPr="00CC0A9B">
              <w:rPr>
                <w:lang w:val="en-GB"/>
              </w:rPr>
              <w:t xml:space="preserve"> be required to</w:t>
            </w:r>
            <w:r w:rsidRPr="00CC0A9B">
              <w:rPr>
                <w:lang w:val="en-GB"/>
              </w:rPr>
              <w:t xml:space="preserve"> select the Non-Key Experts through transparent selection procedures</w:t>
            </w:r>
            <w:r w:rsidR="00203591" w:rsidRPr="00CC0A9B">
              <w:rPr>
                <w:lang w:val="en-GB"/>
              </w:rPr>
              <w:t xml:space="preserve"> aimed at assessing their CV “</w:t>
            </w:r>
            <w:r w:rsidRPr="00CC0A9B">
              <w:rPr>
                <w:i/>
                <w:lang w:val="en-GB"/>
              </w:rPr>
              <w:t>based on pre-defined criteria, including professional qualifications, absence of conflicts of interest, language skills and work experience</w:t>
            </w:r>
            <w:r w:rsidR="00E70C9C" w:rsidRPr="00CC0A9B">
              <w:rPr>
                <w:lang w:val="en-GB"/>
              </w:rPr>
              <w:t>”</w:t>
            </w:r>
            <w:r w:rsidRPr="00CC0A9B">
              <w:rPr>
                <w:lang w:val="en-GB"/>
              </w:rPr>
              <w:t xml:space="preserve">. </w:t>
            </w:r>
          </w:p>
          <w:p w14:paraId="1EF8C33B" w14:textId="5BC45F42" w:rsidR="00BB1C63" w:rsidRPr="00CC0A9B" w:rsidRDefault="00BB1C63" w:rsidP="00BB099C">
            <w:pPr>
              <w:jc w:val="both"/>
              <w:rPr>
                <w:lang w:val="en-GB"/>
              </w:rPr>
            </w:pPr>
            <w:r w:rsidRPr="00CC0A9B">
              <w:rPr>
                <w:lang w:val="en-GB"/>
              </w:rPr>
              <w:t xml:space="preserve">The findings of the selection panel </w:t>
            </w:r>
            <w:r w:rsidR="00121730" w:rsidRPr="00CC0A9B">
              <w:rPr>
                <w:lang w:val="en-GB"/>
              </w:rPr>
              <w:t>will</w:t>
            </w:r>
            <w:r w:rsidRPr="00CC0A9B">
              <w:rPr>
                <w:lang w:val="en-GB"/>
              </w:rPr>
              <w:t xml:space="preserve"> be recorded</w:t>
            </w:r>
            <w:r w:rsidR="00E70C9C" w:rsidRPr="00CC0A9B">
              <w:rPr>
                <w:lang w:val="en-GB"/>
              </w:rPr>
              <w:t xml:space="preserve"> to ensure transparency</w:t>
            </w:r>
            <w:r w:rsidRPr="00CC0A9B">
              <w:rPr>
                <w:lang w:val="en-GB"/>
              </w:rPr>
              <w:t>.</w:t>
            </w:r>
            <w:r w:rsidR="00E70C9C" w:rsidRPr="00CC0A9B">
              <w:rPr>
                <w:lang w:val="en-GB"/>
              </w:rPr>
              <w:t xml:space="preserve"> </w:t>
            </w:r>
            <w:r w:rsidRPr="00CC0A9B">
              <w:rPr>
                <w:lang w:val="en-GB"/>
              </w:rPr>
              <w:t>The experts</w:t>
            </w:r>
            <w:r w:rsidR="00121730" w:rsidRPr="00CC0A9B">
              <w:rPr>
                <w:lang w:val="en-GB"/>
              </w:rPr>
              <w:t xml:space="preserve"> are</w:t>
            </w:r>
            <w:r w:rsidRPr="00CC0A9B">
              <w:rPr>
                <w:lang w:val="en-GB"/>
              </w:rPr>
              <w:t xml:space="preserve"> </w:t>
            </w:r>
            <w:r w:rsidR="00203591" w:rsidRPr="00CC0A9B">
              <w:rPr>
                <w:lang w:val="en-GB"/>
              </w:rPr>
              <w:t>selected by the tenderer/contractor but are</w:t>
            </w:r>
            <w:r w:rsidRPr="00CC0A9B">
              <w:rPr>
                <w:lang w:val="en-GB"/>
              </w:rPr>
              <w:t xml:space="preserve"> subject to approval by the Contracting Authority before the start of their implementation of tasks.</w:t>
            </w:r>
          </w:p>
        </w:tc>
      </w:tr>
      <w:tr w:rsidR="00203591" w:rsidRPr="00BB099C" w14:paraId="09711F24" w14:textId="77777777" w:rsidTr="00316541">
        <w:tc>
          <w:tcPr>
            <w:tcW w:w="3256" w:type="dxa"/>
          </w:tcPr>
          <w:p w14:paraId="45B5EF13" w14:textId="77777777" w:rsidR="00203591" w:rsidRPr="00CC0A9B" w:rsidRDefault="00203591" w:rsidP="00203591">
            <w:pPr>
              <w:rPr>
                <w:lang w:val="en-GB"/>
              </w:rPr>
            </w:pPr>
            <w:r w:rsidRPr="00CC0A9B">
              <w:rPr>
                <w:b/>
                <w:lang w:val="en-GB"/>
              </w:rPr>
              <w:t xml:space="preserve">Q10. </w:t>
            </w:r>
            <w:r w:rsidRPr="00CC0A9B">
              <w:rPr>
                <w:lang w:val="en-GB"/>
              </w:rPr>
              <w:t>Task D.1 provides that a portion of the training will take place in Italy, "for approximately 30 days per trainee per year." If so, 30 days X 12 individuals = 360 days in Italy for one cycle, and for two cycles, a total of 720 days in Italy. This is not sustainable within the available budget (see question 1 above). Therefore, out of the "approximately 30 days," how many days should actually be held in Italy (10, 15, 20)?</w:t>
            </w:r>
          </w:p>
          <w:p w14:paraId="22077CC6" w14:textId="21318BB9" w:rsidR="00203591" w:rsidRPr="00CC0A9B" w:rsidRDefault="00203591" w:rsidP="00BB1C63">
            <w:pPr>
              <w:rPr>
                <w:b/>
                <w:lang w:val="en-GB"/>
              </w:rPr>
            </w:pPr>
          </w:p>
        </w:tc>
        <w:tc>
          <w:tcPr>
            <w:tcW w:w="5342" w:type="dxa"/>
          </w:tcPr>
          <w:p w14:paraId="6EBB232F" w14:textId="74BE5DBA" w:rsidR="009A7267" w:rsidRPr="00CC0A9B" w:rsidRDefault="00203591" w:rsidP="00BB099C">
            <w:pPr>
              <w:jc w:val="both"/>
              <w:rPr>
                <w:lang w:val="en-GB"/>
              </w:rPr>
            </w:pPr>
            <w:r w:rsidRPr="00CC0A9B">
              <w:rPr>
                <w:b/>
                <w:lang w:val="en-GB"/>
              </w:rPr>
              <w:t xml:space="preserve">A10. </w:t>
            </w:r>
            <w:r w:rsidR="00C327E6" w:rsidRPr="00CC0A9B">
              <w:rPr>
                <w:lang w:val="en-GB"/>
              </w:rPr>
              <w:t>In compliance with the T</w:t>
            </w:r>
            <w:r w:rsidR="00A07036">
              <w:rPr>
                <w:lang w:val="en-GB"/>
              </w:rPr>
              <w:t xml:space="preserve">erms </w:t>
            </w:r>
            <w:r w:rsidR="00C327E6" w:rsidRPr="00CC0A9B">
              <w:rPr>
                <w:lang w:val="en-GB"/>
              </w:rPr>
              <w:t>o</w:t>
            </w:r>
            <w:r w:rsidR="00A07036">
              <w:rPr>
                <w:lang w:val="en-GB"/>
              </w:rPr>
              <w:t xml:space="preserve">f </w:t>
            </w:r>
            <w:r w:rsidR="00C327E6" w:rsidRPr="00CC0A9B">
              <w:rPr>
                <w:lang w:val="en-GB"/>
              </w:rPr>
              <w:t>R</w:t>
            </w:r>
            <w:r w:rsidR="00A07036">
              <w:rPr>
                <w:lang w:val="en-GB"/>
              </w:rPr>
              <w:t>eference</w:t>
            </w:r>
            <w:r w:rsidR="00C327E6" w:rsidRPr="00CC0A9B">
              <w:rPr>
                <w:lang w:val="en-GB"/>
              </w:rPr>
              <w:t>, section 4.2</w:t>
            </w:r>
            <w:r w:rsidR="00F21D37" w:rsidRPr="00CC0A9B">
              <w:rPr>
                <w:lang w:val="en-GB"/>
              </w:rPr>
              <w:t>, for Task D1</w:t>
            </w:r>
            <w:r w:rsidR="00C327E6" w:rsidRPr="00CC0A9B">
              <w:rPr>
                <w:lang w:val="en-GB"/>
              </w:rPr>
              <w:t xml:space="preserve"> “</w:t>
            </w:r>
            <w:r w:rsidR="00F21D37" w:rsidRPr="00CC0A9B">
              <w:rPr>
                <w:i/>
                <w:lang w:val="en-GB"/>
              </w:rPr>
              <w:t>a</w:t>
            </w:r>
            <w:r w:rsidR="00C327E6" w:rsidRPr="00CC0A9B">
              <w:rPr>
                <w:i/>
                <w:lang w:val="en-GB"/>
              </w:rPr>
              <w:t xml:space="preserve"> part of the training will be held in Italy – corresponding to </w:t>
            </w:r>
            <w:r w:rsidR="00C327E6" w:rsidRPr="00CC0A9B">
              <w:rPr>
                <w:i/>
                <w:u w:val="single"/>
                <w:lang w:val="en-GB"/>
              </w:rPr>
              <w:t xml:space="preserve">a stay in Italy of indicatively 30 days </w:t>
            </w:r>
            <w:r w:rsidR="00C327E6" w:rsidRPr="00CC0A9B">
              <w:rPr>
                <w:i/>
                <w:lang w:val="en-GB"/>
              </w:rPr>
              <w:t>per trainee per year</w:t>
            </w:r>
            <w:r w:rsidR="00C327E6" w:rsidRPr="00CC0A9B">
              <w:rPr>
                <w:lang w:val="en-GB"/>
              </w:rPr>
              <w:t>”. The detailed training agenda will</w:t>
            </w:r>
            <w:r w:rsidR="009A7267" w:rsidRPr="00CC0A9B">
              <w:rPr>
                <w:lang w:val="en-GB"/>
              </w:rPr>
              <w:t xml:space="preserve"> be defined during Contract implementation. </w:t>
            </w:r>
          </w:p>
          <w:p w14:paraId="144A8230" w14:textId="461E9E82" w:rsidR="00203591" w:rsidRPr="00CC0A9B" w:rsidRDefault="009A7267" w:rsidP="00BB099C">
            <w:pPr>
              <w:jc w:val="both"/>
              <w:rPr>
                <w:b/>
                <w:lang w:val="en-GB"/>
              </w:rPr>
            </w:pPr>
            <w:r w:rsidRPr="00CC0A9B">
              <w:rPr>
                <w:lang w:val="en-GB"/>
              </w:rPr>
              <w:t xml:space="preserve">It is reminded that, as </w:t>
            </w:r>
            <w:r w:rsidR="00203591" w:rsidRPr="00CC0A9B">
              <w:rPr>
                <w:lang w:val="en-GB"/>
              </w:rPr>
              <w:t xml:space="preserve">explained under </w:t>
            </w:r>
            <w:r w:rsidR="00C327E6" w:rsidRPr="00CC0A9B">
              <w:rPr>
                <w:lang w:val="en-GB"/>
              </w:rPr>
              <w:t>A5.</w:t>
            </w:r>
            <w:r w:rsidRPr="00CC0A9B">
              <w:rPr>
                <w:lang w:val="en-GB"/>
              </w:rPr>
              <w:t xml:space="preserve">, </w:t>
            </w:r>
            <w:r w:rsidR="00C327E6" w:rsidRPr="00CC0A9B">
              <w:rPr>
                <w:lang w:val="en-GB"/>
              </w:rPr>
              <w:t xml:space="preserve">the </w:t>
            </w:r>
            <w:proofErr w:type="spellStart"/>
            <w:r w:rsidR="00C327E6" w:rsidRPr="00CC0A9B">
              <w:rPr>
                <w:lang w:val="en-GB"/>
              </w:rPr>
              <w:t>Europeaid</w:t>
            </w:r>
            <w:proofErr w:type="spellEnd"/>
            <w:r w:rsidR="00C327E6" w:rsidRPr="00CC0A9B">
              <w:rPr>
                <w:lang w:val="en-GB"/>
              </w:rPr>
              <w:t xml:space="preserve"> per</w:t>
            </w:r>
            <w:r w:rsidR="00A07036">
              <w:rPr>
                <w:lang w:val="en-GB"/>
              </w:rPr>
              <w:t xml:space="preserve"> </w:t>
            </w:r>
            <w:r w:rsidR="00C327E6" w:rsidRPr="00CC0A9B">
              <w:rPr>
                <w:lang w:val="en-GB"/>
              </w:rPr>
              <w:t>diem</w:t>
            </w:r>
            <w:r w:rsidRPr="00CC0A9B">
              <w:rPr>
                <w:lang w:val="en-GB"/>
              </w:rPr>
              <w:t>s</w:t>
            </w:r>
            <w:r w:rsidR="00C327E6" w:rsidRPr="00CC0A9B">
              <w:rPr>
                <w:lang w:val="en-GB"/>
              </w:rPr>
              <w:t xml:space="preserve"> are maximum amounts </w:t>
            </w:r>
            <w:r w:rsidRPr="00CC0A9B">
              <w:rPr>
                <w:lang w:val="en-GB"/>
              </w:rPr>
              <w:t>and lower per diems can be applied</w:t>
            </w:r>
            <w:r w:rsidR="005E21DC" w:rsidRPr="00CC0A9B">
              <w:rPr>
                <w:lang w:val="en-GB"/>
              </w:rPr>
              <w:t>.</w:t>
            </w:r>
          </w:p>
        </w:tc>
      </w:tr>
      <w:tr w:rsidR="00203591" w:rsidRPr="00BB099C" w14:paraId="7408345B" w14:textId="77777777" w:rsidTr="00316541">
        <w:tc>
          <w:tcPr>
            <w:tcW w:w="3256" w:type="dxa"/>
          </w:tcPr>
          <w:p w14:paraId="0B91C7ED" w14:textId="3FC89C89" w:rsidR="009A7267" w:rsidRPr="00CC0A9B" w:rsidRDefault="009A7267" w:rsidP="009A7267">
            <w:pPr>
              <w:rPr>
                <w:lang w:val="en-GB"/>
              </w:rPr>
            </w:pPr>
            <w:r w:rsidRPr="00CC0A9B">
              <w:rPr>
                <w:b/>
                <w:lang w:val="en-GB"/>
              </w:rPr>
              <w:t>Q11.</w:t>
            </w:r>
            <w:r w:rsidRPr="00CC0A9B">
              <w:rPr>
                <w:lang w:val="en-GB"/>
              </w:rPr>
              <w:t xml:space="preserve"> Task D.1 states that "the full cycle will be delivered twice." Does this mean that each of the 12 individuals will repeat the same course twice (i.e., the same subject), or can </w:t>
            </w:r>
            <w:r w:rsidRPr="00CC0A9B">
              <w:rPr>
                <w:lang w:val="en-GB"/>
              </w:rPr>
              <w:lastRenderedPageBreak/>
              <w:t>different subjects/courses be offered to the students?</w:t>
            </w:r>
          </w:p>
          <w:p w14:paraId="624C96C7" w14:textId="77777777" w:rsidR="00203591" w:rsidRPr="00CC0A9B" w:rsidRDefault="00203591" w:rsidP="00BB1C63">
            <w:pPr>
              <w:rPr>
                <w:b/>
                <w:lang w:val="en-GB"/>
              </w:rPr>
            </w:pPr>
          </w:p>
        </w:tc>
        <w:tc>
          <w:tcPr>
            <w:tcW w:w="5342" w:type="dxa"/>
          </w:tcPr>
          <w:p w14:paraId="478C3BE5" w14:textId="09B5B8E7" w:rsidR="001256B9" w:rsidRDefault="00F21D37" w:rsidP="001256B9">
            <w:pPr>
              <w:rPr>
                <w:lang w:val="en-GB"/>
              </w:rPr>
            </w:pPr>
            <w:r w:rsidRPr="00CC0A9B">
              <w:rPr>
                <w:b/>
                <w:lang w:val="en-GB"/>
              </w:rPr>
              <w:lastRenderedPageBreak/>
              <w:t>A11.</w:t>
            </w:r>
            <w:r w:rsidRPr="00CC0A9B">
              <w:rPr>
                <w:lang w:val="en-GB"/>
              </w:rPr>
              <w:t xml:space="preserve"> </w:t>
            </w:r>
            <w:r w:rsidR="003C19F0">
              <w:rPr>
                <w:lang w:val="en-GB"/>
              </w:rPr>
              <w:t xml:space="preserve">It could be different subjects/courses to be offered to the local experts according to the development of the training </w:t>
            </w:r>
            <w:r w:rsidR="001256B9">
              <w:rPr>
                <w:lang w:val="en-GB"/>
              </w:rPr>
              <w:t xml:space="preserve">process </w:t>
            </w:r>
            <w:r w:rsidR="003C19F0">
              <w:rPr>
                <w:lang w:val="en-GB"/>
              </w:rPr>
              <w:t>of the first year.</w:t>
            </w:r>
            <w:r w:rsidR="001256B9">
              <w:rPr>
                <w:lang w:val="en-GB"/>
              </w:rPr>
              <w:t xml:space="preserve"> </w:t>
            </w:r>
          </w:p>
          <w:p w14:paraId="34EB7A33" w14:textId="77777777" w:rsidR="001256B9" w:rsidRDefault="001256B9" w:rsidP="001256B9">
            <w:pPr>
              <w:rPr>
                <w:lang w:val="en-GB"/>
              </w:rPr>
            </w:pPr>
          </w:p>
          <w:p w14:paraId="2F4137D8" w14:textId="69E297EE" w:rsidR="00203591" w:rsidRPr="00CC0A9B" w:rsidRDefault="001256B9" w:rsidP="001256B9">
            <w:pPr>
              <w:rPr>
                <w:lang w:val="en-GB"/>
              </w:rPr>
            </w:pPr>
            <w:r w:rsidRPr="001256B9">
              <w:rPr>
                <w:lang w:val="en-GB"/>
              </w:rPr>
              <w:t xml:space="preserve">Certainly, some topics/courses </w:t>
            </w:r>
            <w:r>
              <w:rPr>
                <w:lang w:val="en-GB"/>
              </w:rPr>
              <w:t xml:space="preserve">could </w:t>
            </w:r>
            <w:r w:rsidRPr="001256B9">
              <w:rPr>
                <w:lang w:val="en-GB"/>
              </w:rPr>
              <w:t>be explored in greater depth depending on the feedback from the first year's training.</w:t>
            </w:r>
          </w:p>
        </w:tc>
      </w:tr>
      <w:tr w:rsidR="00F21D37" w:rsidRPr="00BB099C" w14:paraId="24583748" w14:textId="77777777" w:rsidTr="00316541">
        <w:tc>
          <w:tcPr>
            <w:tcW w:w="3256" w:type="dxa"/>
          </w:tcPr>
          <w:p w14:paraId="7FEB0922" w14:textId="3B892133" w:rsidR="00F21D37" w:rsidRPr="00CC0A9B" w:rsidRDefault="00F21D37" w:rsidP="00F21D37">
            <w:pPr>
              <w:rPr>
                <w:lang w:val="en-GB"/>
              </w:rPr>
            </w:pPr>
            <w:r w:rsidRPr="00CC0A9B">
              <w:rPr>
                <w:b/>
                <w:lang w:val="en-GB"/>
              </w:rPr>
              <w:t>Q1</w:t>
            </w:r>
            <w:r w:rsidR="005E21DC" w:rsidRPr="00CC0A9B">
              <w:rPr>
                <w:b/>
                <w:lang w:val="en-GB"/>
              </w:rPr>
              <w:t>2</w:t>
            </w:r>
            <w:r w:rsidRPr="00CC0A9B">
              <w:rPr>
                <w:b/>
                <w:lang w:val="en-GB"/>
              </w:rPr>
              <w:t xml:space="preserve">. </w:t>
            </w:r>
            <w:r w:rsidRPr="00CC0A9B">
              <w:rPr>
                <w:lang w:val="en-GB"/>
              </w:rPr>
              <w:t xml:space="preserve">In the description of task D.3, it seems that the key expert must "manage" and "organize" a first seminar on operational procedures and the development of the technology </w:t>
            </w:r>
            <w:r w:rsidR="00A07036" w:rsidRPr="00CC0A9B">
              <w:rPr>
                <w:lang w:val="en-GB"/>
              </w:rPr>
              <w:t>centre</w:t>
            </w:r>
            <w:r w:rsidRPr="00CC0A9B">
              <w:rPr>
                <w:lang w:val="en-GB"/>
              </w:rPr>
              <w:t xml:space="preserve">. Similarly, the key expert must "conduct" a second seminar on the start of the technology </w:t>
            </w:r>
            <w:r w:rsidR="00A07036" w:rsidRPr="00CC0A9B">
              <w:rPr>
                <w:lang w:val="en-GB"/>
              </w:rPr>
              <w:t>centre</w:t>
            </w:r>
            <w:r w:rsidRPr="00CC0A9B">
              <w:rPr>
                <w:lang w:val="en-GB"/>
              </w:rPr>
              <w:t xml:space="preserve"> using the procedures defined in the previous tasks. The question pertains to the possibility or not of carrying out this task not only through the key expert's activities but also through those of the non-key expert. In this regard, the "eligible expenditure accepted for the task D.3" seems to allow expenses for non-key experts as well.</w:t>
            </w:r>
          </w:p>
          <w:p w14:paraId="09AB3802" w14:textId="73E62214" w:rsidR="00F21D37" w:rsidRPr="00CC0A9B" w:rsidRDefault="00F21D37" w:rsidP="009A7267">
            <w:pPr>
              <w:rPr>
                <w:b/>
                <w:lang w:val="en-GB"/>
              </w:rPr>
            </w:pPr>
          </w:p>
        </w:tc>
        <w:tc>
          <w:tcPr>
            <w:tcW w:w="5342" w:type="dxa"/>
          </w:tcPr>
          <w:p w14:paraId="089056A2" w14:textId="0405D499" w:rsidR="00F21D37" w:rsidRPr="00CC0A9B" w:rsidRDefault="00F21D37" w:rsidP="00BB099C">
            <w:pPr>
              <w:jc w:val="both"/>
              <w:rPr>
                <w:b/>
                <w:lang w:val="en-GB"/>
              </w:rPr>
            </w:pPr>
            <w:r w:rsidRPr="00CC0A9B">
              <w:rPr>
                <w:b/>
                <w:lang w:val="en-GB"/>
              </w:rPr>
              <w:t>A</w:t>
            </w:r>
            <w:r w:rsidR="005E21DC" w:rsidRPr="00CC0A9B">
              <w:rPr>
                <w:b/>
                <w:lang w:val="en-GB"/>
              </w:rPr>
              <w:t>12</w:t>
            </w:r>
            <w:r w:rsidRPr="00CC0A9B">
              <w:rPr>
                <w:b/>
                <w:lang w:val="en-GB"/>
              </w:rPr>
              <w:t xml:space="preserve">. </w:t>
            </w:r>
            <w:r w:rsidRPr="00CC0A9B">
              <w:rPr>
                <w:lang w:val="en-GB"/>
              </w:rPr>
              <w:t>In compliance with the T</w:t>
            </w:r>
            <w:r w:rsidR="00A07036">
              <w:rPr>
                <w:lang w:val="en-GB"/>
              </w:rPr>
              <w:t xml:space="preserve">erms </w:t>
            </w:r>
            <w:r w:rsidRPr="00CC0A9B">
              <w:rPr>
                <w:lang w:val="en-GB"/>
              </w:rPr>
              <w:t>o</w:t>
            </w:r>
            <w:r w:rsidR="00A07036">
              <w:rPr>
                <w:lang w:val="en-GB"/>
              </w:rPr>
              <w:t xml:space="preserve">f </w:t>
            </w:r>
            <w:r w:rsidRPr="00CC0A9B">
              <w:rPr>
                <w:lang w:val="en-GB"/>
              </w:rPr>
              <w:t>R</w:t>
            </w:r>
            <w:r w:rsidR="00A07036">
              <w:rPr>
                <w:lang w:val="en-GB"/>
              </w:rPr>
              <w:t>eference</w:t>
            </w:r>
            <w:r w:rsidRPr="00CC0A9B">
              <w:rPr>
                <w:lang w:val="en-GB"/>
              </w:rPr>
              <w:t xml:space="preserve">, section 4.2, for Task D3 </w:t>
            </w:r>
            <w:r w:rsidR="0004151D" w:rsidRPr="00CC0A9B">
              <w:rPr>
                <w:lang w:val="en-GB"/>
              </w:rPr>
              <w:t>two</w:t>
            </w:r>
            <w:r w:rsidRPr="00CC0A9B">
              <w:rPr>
                <w:lang w:val="en-GB"/>
              </w:rPr>
              <w:t xml:space="preserve"> six-day seminar</w:t>
            </w:r>
            <w:r w:rsidR="005E21DC" w:rsidRPr="00CC0A9B">
              <w:rPr>
                <w:lang w:val="en-GB"/>
              </w:rPr>
              <w:t>s</w:t>
            </w:r>
            <w:r w:rsidRPr="00CC0A9B">
              <w:rPr>
                <w:lang w:val="en-GB"/>
              </w:rPr>
              <w:t xml:space="preserve"> will be </w:t>
            </w:r>
            <w:r w:rsidR="0004151D" w:rsidRPr="00CC0A9B">
              <w:rPr>
                <w:lang w:val="en-GB"/>
              </w:rPr>
              <w:t>organized that will “managed” / “conducted” by the Key Expert. The KE management role does not exclude the participation of NKEs, that can contribute to organization and delivery of the seminar</w:t>
            </w:r>
            <w:r w:rsidR="005E21DC" w:rsidRPr="00CC0A9B">
              <w:rPr>
                <w:lang w:val="en-GB"/>
              </w:rPr>
              <w:t>s</w:t>
            </w:r>
            <w:r w:rsidR="0004151D" w:rsidRPr="00CC0A9B">
              <w:rPr>
                <w:lang w:val="en-GB"/>
              </w:rPr>
              <w:t xml:space="preserve"> under the KE supervision.</w:t>
            </w:r>
          </w:p>
        </w:tc>
      </w:tr>
      <w:tr w:rsidR="0004151D" w:rsidRPr="00BB099C" w14:paraId="0298A9F3" w14:textId="77777777" w:rsidTr="00316541">
        <w:tc>
          <w:tcPr>
            <w:tcW w:w="3256" w:type="dxa"/>
          </w:tcPr>
          <w:p w14:paraId="34FDFD94" w14:textId="35A206F6" w:rsidR="0004151D" w:rsidRPr="00CC0A9B" w:rsidRDefault="0004151D" w:rsidP="0004151D">
            <w:pPr>
              <w:rPr>
                <w:lang w:val="en-GB"/>
              </w:rPr>
            </w:pPr>
            <w:r w:rsidRPr="00CC0A9B">
              <w:rPr>
                <w:b/>
                <w:lang w:val="en-GB"/>
              </w:rPr>
              <w:t>Q1</w:t>
            </w:r>
            <w:r w:rsidR="005E21DC" w:rsidRPr="00CC0A9B">
              <w:rPr>
                <w:b/>
                <w:lang w:val="en-GB"/>
              </w:rPr>
              <w:t>3</w:t>
            </w:r>
            <w:r w:rsidRPr="00CC0A9B">
              <w:rPr>
                <w:b/>
                <w:lang w:val="en-GB"/>
              </w:rPr>
              <w:t xml:space="preserve">. </w:t>
            </w:r>
            <w:r w:rsidRPr="00CC0A9B">
              <w:rPr>
                <w:lang w:val="en-GB"/>
              </w:rPr>
              <w:t>With reference to annex V, it should be clarified what the requirements are for establishing the difference (and whether such differentiation is relevant) between "senior expert," "junior expert," and "other expert." Moreover, should the subcategories of key experts be considered "non-key experts"?</w:t>
            </w:r>
          </w:p>
          <w:p w14:paraId="527D34A3" w14:textId="1102E2E3" w:rsidR="0004151D" w:rsidRPr="00CC0A9B" w:rsidRDefault="0004151D" w:rsidP="00F21D37">
            <w:pPr>
              <w:rPr>
                <w:b/>
                <w:lang w:val="en-GB"/>
              </w:rPr>
            </w:pPr>
          </w:p>
        </w:tc>
        <w:tc>
          <w:tcPr>
            <w:tcW w:w="5342" w:type="dxa"/>
          </w:tcPr>
          <w:p w14:paraId="1B0927C7" w14:textId="76E5B704" w:rsidR="008525B0" w:rsidRPr="00CC0A9B" w:rsidRDefault="008525B0" w:rsidP="00BB099C">
            <w:pPr>
              <w:jc w:val="both"/>
              <w:rPr>
                <w:lang w:val="en-GB"/>
              </w:rPr>
            </w:pPr>
            <w:r w:rsidRPr="00CC0A9B">
              <w:rPr>
                <w:b/>
                <w:lang w:val="en-GB"/>
              </w:rPr>
              <w:t>A1</w:t>
            </w:r>
            <w:r w:rsidR="005E21DC" w:rsidRPr="00CC0A9B">
              <w:rPr>
                <w:b/>
                <w:lang w:val="en-GB"/>
              </w:rPr>
              <w:t>3</w:t>
            </w:r>
            <w:r w:rsidRPr="00CC0A9B">
              <w:rPr>
                <w:b/>
                <w:lang w:val="en-GB"/>
              </w:rPr>
              <w:t xml:space="preserve">. </w:t>
            </w:r>
            <w:r w:rsidR="0066218C" w:rsidRPr="00CC0A9B">
              <w:rPr>
                <w:lang w:val="en-GB"/>
              </w:rPr>
              <w:t>The difference between the categori</w:t>
            </w:r>
            <w:r w:rsidR="00A77838" w:rsidRPr="00CC0A9B">
              <w:rPr>
                <w:lang w:val="en-GB"/>
              </w:rPr>
              <w:t xml:space="preserve">es </w:t>
            </w:r>
            <w:r w:rsidR="0066218C" w:rsidRPr="00CC0A9B">
              <w:rPr>
                <w:lang w:val="en-GB"/>
              </w:rPr>
              <w:t>of experts refers to the minimum required professional experience and</w:t>
            </w:r>
            <w:r w:rsidR="00A77838" w:rsidRPr="00CC0A9B">
              <w:rPr>
                <w:lang w:val="en-GB"/>
              </w:rPr>
              <w:t xml:space="preserve">, consequently, to </w:t>
            </w:r>
            <w:r w:rsidR="0066218C" w:rsidRPr="00CC0A9B">
              <w:rPr>
                <w:lang w:val="en-GB"/>
              </w:rPr>
              <w:t xml:space="preserve">the corresponding </w:t>
            </w:r>
            <w:r w:rsidR="005E21DC" w:rsidRPr="00CC0A9B">
              <w:rPr>
                <w:lang w:val="en-GB"/>
              </w:rPr>
              <w:t xml:space="preserve">daily </w:t>
            </w:r>
            <w:r w:rsidR="0066218C" w:rsidRPr="00CC0A9B">
              <w:rPr>
                <w:lang w:val="en-GB"/>
              </w:rPr>
              <w:t>fee.</w:t>
            </w:r>
            <w:r w:rsidR="00A77838" w:rsidRPr="00CC0A9B">
              <w:rPr>
                <w:lang w:val="en-GB"/>
              </w:rPr>
              <w:t xml:space="preserve"> A </w:t>
            </w:r>
            <w:r w:rsidRPr="00CC0A9B">
              <w:rPr>
                <w:lang w:val="en-GB"/>
              </w:rPr>
              <w:t xml:space="preserve">Junior Expert is an </w:t>
            </w:r>
            <w:r w:rsidR="0066218C" w:rsidRPr="00CC0A9B">
              <w:rPr>
                <w:lang w:val="en-GB"/>
              </w:rPr>
              <w:t>expert with at</w:t>
            </w:r>
            <w:r w:rsidRPr="00CC0A9B">
              <w:rPr>
                <w:lang w:val="en-GB"/>
              </w:rPr>
              <w:t xml:space="preserve"> least 3 years’ professional experience connected to the type of task(s) to be performed under the assignment</w:t>
            </w:r>
            <w:r w:rsidR="0066218C" w:rsidRPr="00CC0A9B">
              <w:rPr>
                <w:lang w:val="en-GB"/>
              </w:rPr>
              <w:t>. For a Senior Expert more years of experience are required as minimum qualification. The category ‘Other experts’ is optional.</w:t>
            </w:r>
          </w:p>
          <w:p w14:paraId="2F05B0F3" w14:textId="08621D0B" w:rsidR="00A77838" w:rsidRPr="00CC0A9B" w:rsidRDefault="00A77838" w:rsidP="00BB099C">
            <w:pPr>
              <w:jc w:val="both"/>
              <w:rPr>
                <w:lang w:val="en-GB"/>
              </w:rPr>
            </w:pPr>
          </w:p>
          <w:p w14:paraId="4A2F9243" w14:textId="67D237E1" w:rsidR="0066218C" w:rsidRPr="00CC0A9B" w:rsidRDefault="00C340B3" w:rsidP="00BB099C">
            <w:pPr>
              <w:jc w:val="both"/>
              <w:rPr>
                <w:i/>
                <w:lang w:val="en-GB"/>
              </w:rPr>
            </w:pPr>
            <w:r w:rsidRPr="00CC0A9B">
              <w:rPr>
                <w:lang w:val="en-GB"/>
              </w:rPr>
              <w:t xml:space="preserve">Key Experts and Non-Key Experts are </w:t>
            </w:r>
            <w:r w:rsidR="00847364" w:rsidRPr="00CC0A9B">
              <w:rPr>
                <w:lang w:val="en-GB"/>
              </w:rPr>
              <w:t xml:space="preserve">two different typologies of experts. As requested by the Terms of Reference, section 6.1.1 – Key Experts, </w:t>
            </w:r>
            <w:r w:rsidR="00847364" w:rsidRPr="00CC0A9B">
              <w:rPr>
                <w:i/>
                <w:lang w:val="en-GB"/>
              </w:rPr>
              <w:t>“The tenderer shall submit CVs and statements of exclusivity and availability</w:t>
            </w:r>
            <w:r w:rsidR="0059023D" w:rsidRPr="00CC0A9B">
              <w:rPr>
                <w:i/>
                <w:lang w:val="en-GB"/>
              </w:rPr>
              <w:t xml:space="preserve"> for</w:t>
            </w:r>
            <w:r w:rsidR="00847364" w:rsidRPr="00CC0A9B">
              <w:rPr>
                <w:i/>
                <w:lang w:val="en-GB"/>
              </w:rPr>
              <w:t xml:space="preserve"> the following experts:</w:t>
            </w:r>
          </w:p>
          <w:p w14:paraId="7986874D" w14:textId="79EA9B58" w:rsidR="00847364" w:rsidRPr="00CC0A9B" w:rsidRDefault="00847364" w:rsidP="00BB099C">
            <w:pPr>
              <w:pStyle w:val="ListParagraph"/>
              <w:numPr>
                <w:ilvl w:val="0"/>
                <w:numId w:val="11"/>
              </w:numPr>
              <w:jc w:val="both"/>
              <w:rPr>
                <w:i/>
                <w:lang w:val="en-GB"/>
              </w:rPr>
            </w:pPr>
            <w:r w:rsidRPr="00CC0A9B">
              <w:rPr>
                <w:i/>
                <w:lang w:val="en-GB"/>
              </w:rPr>
              <w:t>Key expert nº 1: Team Leader, Expert of Environmental Management in the Tanning Sector (...)</w:t>
            </w:r>
          </w:p>
          <w:p w14:paraId="0BCD7C38" w14:textId="073B387D" w:rsidR="00847364" w:rsidRPr="00CC0A9B" w:rsidRDefault="00847364" w:rsidP="00BB099C">
            <w:pPr>
              <w:pStyle w:val="ListParagraph"/>
              <w:numPr>
                <w:ilvl w:val="0"/>
                <w:numId w:val="11"/>
              </w:numPr>
              <w:jc w:val="both"/>
              <w:rPr>
                <w:i/>
                <w:lang w:val="en-GB"/>
              </w:rPr>
            </w:pPr>
            <w:r w:rsidRPr="00CC0A9B">
              <w:rPr>
                <w:i/>
                <w:lang w:val="en-GB"/>
              </w:rPr>
              <w:t>Key expert n°2: Expert of Technological Centres of Tanning Entrepreneurship, Training, Research Laboratories and Quality Control (...)</w:t>
            </w:r>
          </w:p>
          <w:p w14:paraId="51FDDF43" w14:textId="5E504356" w:rsidR="00847364" w:rsidRPr="00CC0A9B" w:rsidRDefault="00847364" w:rsidP="00BB099C">
            <w:pPr>
              <w:pStyle w:val="ListParagraph"/>
              <w:numPr>
                <w:ilvl w:val="0"/>
                <w:numId w:val="11"/>
              </w:numPr>
              <w:jc w:val="both"/>
              <w:rPr>
                <w:i/>
                <w:lang w:val="en-GB"/>
              </w:rPr>
            </w:pPr>
            <w:r w:rsidRPr="00CC0A9B">
              <w:rPr>
                <w:i/>
                <w:lang w:val="en-GB"/>
              </w:rPr>
              <w:t>Key expert n°3: Sector Expert (...)”.</w:t>
            </w:r>
          </w:p>
          <w:p w14:paraId="28593D7D" w14:textId="1143B7AF" w:rsidR="0004151D" w:rsidRPr="00CC0A9B" w:rsidRDefault="00847364" w:rsidP="00BB099C">
            <w:pPr>
              <w:jc w:val="both"/>
              <w:rPr>
                <w:b/>
                <w:lang w:val="en-GB"/>
              </w:rPr>
            </w:pPr>
            <w:r w:rsidRPr="00CC0A9B">
              <w:rPr>
                <w:lang w:val="en-GB"/>
              </w:rPr>
              <w:t xml:space="preserve">All the other experts under this tender will be Non-Key Experts. </w:t>
            </w:r>
          </w:p>
        </w:tc>
      </w:tr>
      <w:tr w:rsidR="0004151D" w:rsidRPr="00BB099C" w14:paraId="1A2B3F0C" w14:textId="77777777" w:rsidTr="00316541">
        <w:tc>
          <w:tcPr>
            <w:tcW w:w="3256" w:type="dxa"/>
          </w:tcPr>
          <w:p w14:paraId="0E6B7E5B" w14:textId="11C93EF7" w:rsidR="0004151D" w:rsidRPr="00CC0A9B" w:rsidRDefault="0004151D" w:rsidP="0004151D">
            <w:pPr>
              <w:rPr>
                <w:lang w:val="en-GB"/>
              </w:rPr>
            </w:pPr>
            <w:r w:rsidRPr="00CC0A9B">
              <w:rPr>
                <w:b/>
                <w:lang w:val="en-GB"/>
              </w:rPr>
              <w:t>Q1</w:t>
            </w:r>
            <w:r w:rsidR="000579B2">
              <w:rPr>
                <w:b/>
                <w:lang w:val="en-GB"/>
              </w:rPr>
              <w:t>4</w:t>
            </w:r>
            <w:r w:rsidRPr="00CC0A9B">
              <w:rPr>
                <w:b/>
                <w:lang w:val="en-GB"/>
              </w:rPr>
              <w:t xml:space="preserve">. </w:t>
            </w:r>
            <w:r w:rsidRPr="00CC0A9B">
              <w:rPr>
                <w:lang w:val="en-GB"/>
              </w:rPr>
              <w:t xml:space="preserve">At point 2.3 of annex II, the outputs related to Outcome 1 are specified. Item 6 of these </w:t>
            </w:r>
            <w:r w:rsidRPr="00CC0A9B">
              <w:rPr>
                <w:lang w:val="en-GB"/>
              </w:rPr>
              <w:lastRenderedPageBreak/>
              <w:t>outputs states that "Common facilities and services are properly functioning and their performance is improved." Keeping this in mind, to what extent must the proper functioning of "common facilities" be guaranteed, and to what extent should their performance be improved? As a contractor, we cannot guarantee the correct functioning of the common facilities. Conversely, it is possible to provide tools for the CID to monitor performance in the future.</w:t>
            </w:r>
          </w:p>
          <w:p w14:paraId="08C222E8" w14:textId="3B3F6A26" w:rsidR="0004151D" w:rsidRPr="00CC0A9B" w:rsidRDefault="0004151D" w:rsidP="00F21D37">
            <w:pPr>
              <w:rPr>
                <w:b/>
                <w:lang w:val="en-GB"/>
              </w:rPr>
            </w:pPr>
          </w:p>
        </w:tc>
        <w:tc>
          <w:tcPr>
            <w:tcW w:w="5342" w:type="dxa"/>
          </w:tcPr>
          <w:p w14:paraId="2943A180" w14:textId="2BE4A299" w:rsidR="0059023D" w:rsidRPr="00CC0A9B" w:rsidRDefault="00A45AC6" w:rsidP="00BB099C">
            <w:pPr>
              <w:jc w:val="both"/>
              <w:rPr>
                <w:lang w:val="en-GB"/>
              </w:rPr>
            </w:pPr>
            <w:r w:rsidRPr="00CC0A9B">
              <w:rPr>
                <w:b/>
                <w:lang w:val="en-GB"/>
              </w:rPr>
              <w:lastRenderedPageBreak/>
              <w:t>A1</w:t>
            </w:r>
            <w:r w:rsidR="000579B2">
              <w:rPr>
                <w:b/>
                <w:lang w:val="en-GB"/>
              </w:rPr>
              <w:t>4</w:t>
            </w:r>
            <w:r w:rsidRPr="00CC0A9B">
              <w:rPr>
                <w:b/>
                <w:lang w:val="en-GB"/>
              </w:rPr>
              <w:t xml:space="preserve">. </w:t>
            </w:r>
            <w:r w:rsidRPr="00CC0A9B">
              <w:rPr>
                <w:lang w:val="en-GB"/>
              </w:rPr>
              <w:t xml:space="preserve">The Output 6 "Common facilities and services are properly functioning and their performance is improved” is linked to the planned activities under </w:t>
            </w:r>
            <w:r w:rsidRPr="00CC0A9B">
              <w:rPr>
                <w:lang w:val="en-GB"/>
              </w:rPr>
              <w:lastRenderedPageBreak/>
              <w:t>Component 1, which include the R</w:t>
            </w:r>
            <w:r w:rsidR="001256B9">
              <w:rPr>
                <w:lang w:val="en-GB"/>
              </w:rPr>
              <w:t>L</w:t>
            </w:r>
            <w:r w:rsidRPr="00CC0A9B">
              <w:rPr>
                <w:lang w:val="en-GB"/>
              </w:rPr>
              <w:t xml:space="preserve">C common facilities staff selection, evaluation and training and </w:t>
            </w:r>
            <w:r w:rsidR="00B41161" w:rsidRPr="00CC0A9B">
              <w:rPr>
                <w:lang w:val="en-GB"/>
              </w:rPr>
              <w:t>prepare environmental management plans for R</w:t>
            </w:r>
            <w:r w:rsidR="001256B9">
              <w:rPr>
                <w:lang w:val="en-GB"/>
              </w:rPr>
              <w:t>L</w:t>
            </w:r>
            <w:r w:rsidR="00B41161" w:rsidRPr="00CC0A9B">
              <w:rPr>
                <w:lang w:val="en-GB"/>
              </w:rPr>
              <w:t>C common facilities, as explained in the Terms of Reference, pages 15-17. It is expected</w:t>
            </w:r>
            <w:r w:rsidR="002538BF" w:rsidRPr="00CC0A9B">
              <w:rPr>
                <w:lang w:val="en-GB"/>
              </w:rPr>
              <w:t>, and likely,</w:t>
            </w:r>
            <w:r w:rsidR="00B41161" w:rsidRPr="00CC0A9B">
              <w:rPr>
                <w:lang w:val="en-GB"/>
              </w:rPr>
              <w:t xml:space="preserve"> that such activities will </w:t>
            </w:r>
            <w:r w:rsidR="00C51D0C" w:rsidRPr="00CC0A9B">
              <w:rPr>
                <w:lang w:val="en-GB"/>
              </w:rPr>
              <w:t xml:space="preserve">positively affect the </w:t>
            </w:r>
            <w:r w:rsidR="002538BF" w:rsidRPr="00CC0A9B">
              <w:rPr>
                <w:lang w:val="en-GB"/>
              </w:rPr>
              <w:t>proper functioning of the common facilities, and put the bases for a better performance</w:t>
            </w:r>
            <w:r w:rsidR="00F06531" w:rsidRPr="00CC0A9B">
              <w:rPr>
                <w:lang w:val="en-GB"/>
              </w:rPr>
              <w:t xml:space="preserve"> in service provision</w:t>
            </w:r>
            <w:r w:rsidR="002538BF" w:rsidRPr="00CC0A9B">
              <w:rPr>
                <w:lang w:val="en-GB"/>
              </w:rPr>
              <w:t>.</w:t>
            </w:r>
          </w:p>
          <w:p w14:paraId="7B8A2738" w14:textId="06B6AE26" w:rsidR="0004151D" w:rsidRPr="00CC0A9B" w:rsidRDefault="002538BF" w:rsidP="00BB099C">
            <w:pPr>
              <w:jc w:val="both"/>
              <w:rPr>
                <w:lang w:val="en-GB"/>
              </w:rPr>
            </w:pPr>
            <w:r w:rsidRPr="00CC0A9B">
              <w:rPr>
                <w:lang w:val="en-GB"/>
              </w:rPr>
              <w:t xml:space="preserve"> </w:t>
            </w:r>
          </w:p>
          <w:p w14:paraId="506107D1" w14:textId="76BD9781" w:rsidR="002538BF" w:rsidRPr="00CC0A9B" w:rsidRDefault="00F06531" w:rsidP="00BB099C">
            <w:pPr>
              <w:autoSpaceDE w:val="0"/>
              <w:autoSpaceDN w:val="0"/>
              <w:adjustRightInd w:val="0"/>
              <w:jc w:val="both"/>
              <w:rPr>
                <w:lang w:val="en-GB"/>
              </w:rPr>
            </w:pPr>
            <w:r w:rsidRPr="00CC0A9B">
              <w:rPr>
                <w:lang w:val="en-GB"/>
              </w:rPr>
              <w:t>in the Organization &amp; Methodology t</w:t>
            </w:r>
            <w:r w:rsidR="002538BF" w:rsidRPr="00CC0A9B">
              <w:rPr>
                <w:lang w:val="en-GB"/>
              </w:rPr>
              <w:t xml:space="preserve">he tenderers are required to </w:t>
            </w:r>
            <w:r w:rsidRPr="00CC0A9B">
              <w:rPr>
                <w:lang w:val="en-GB"/>
              </w:rPr>
              <w:t>propose</w:t>
            </w:r>
            <w:r w:rsidR="002538BF" w:rsidRPr="00CC0A9B">
              <w:rPr>
                <w:lang w:val="en-GB"/>
              </w:rPr>
              <w:t>“</w:t>
            </w:r>
            <w:r w:rsidR="001256B9">
              <w:rPr>
                <w:lang w:val="en-GB"/>
              </w:rPr>
              <w:t xml:space="preserve"> </w:t>
            </w:r>
            <w:r w:rsidR="002538BF" w:rsidRPr="00CC0A9B">
              <w:rPr>
                <w:lang w:val="en-GB"/>
              </w:rPr>
              <w:t xml:space="preserve">a set of objectively verifiable indicators and sources of verification for each of the components </w:t>
            </w:r>
            <w:r w:rsidRPr="00CC0A9B">
              <w:rPr>
                <w:lang w:val="en-GB"/>
              </w:rPr>
              <w:t xml:space="preserve">that </w:t>
            </w:r>
            <w:r w:rsidR="002538BF" w:rsidRPr="00CC0A9B">
              <w:rPr>
                <w:lang w:val="en-GB"/>
              </w:rPr>
              <w:t xml:space="preserve">will be finalized in the Inception </w:t>
            </w:r>
            <w:r w:rsidRPr="00CC0A9B">
              <w:rPr>
                <w:lang w:val="en-GB"/>
              </w:rPr>
              <w:t>Report” and then be used for Project monitoring and evaluation.</w:t>
            </w:r>
            <w:r w:rsidR="002538BF" w:rsidRPr="00CC0A9B">
              <w:rPr>
                <w:lang w:val="en-GB"/>
              </w:rPr>
              <w:t xml:space="preserve"> </w:t>
            </w:r>
          </w:p>
          <w:p w14:paraId="1AC1DC40" w14:textId="0CE1E028" w:rsidR="002538BF" w:rsidRPr="00CC0A9B" w:rsidRDefault="002538BF" w:rsidP="00BB099C">
            <w:pPr>
              <w:jc w:val="both"/>
              <w:rPr>
                <w:b/>
                <w:lang w:val="en-GB"/>
              </w:rPr>
            </w:pPr>
          </w:p>
        </w:tc>
      </w:tr>
    </w:tbl>
    <w:p w14:paraId="7D71FE90" w14:textId="77777777" w:rsidR="004B4668" w:rsidRPr="00CC0A9B" w:rsidRDefault="004B4668" w:rsidP="00F06531">
      <w:pPr>
        <w:rPr>
          <w:b/>
          <w:lang w:val="en-GB"/>
        </w:rPr>
      </w:pPr>
    </w:p>
    <w:sectPr w:rsidR="004B4668" w:rsidRPr="00CC0A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TarumianTimes">
    <w:altName w:val="Times New Roman P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2D7"/>
    <w:multiLevelType w:val="hybridMultilevel"/>
    <w:tmpl w:val="806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35E2E"/>
    <w:multiLevelType w:val="hybridMultilevel"/>
    <w:tmpl w:val="CED6A302"/>
    <w:lvl w:ilvl="0" w:tplc="C950939A">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764D"/>
    <w:multiLevelType w:val="multilevel"/>
    <w:tmpl w:val="96108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4" w15:restartNumberingAfterBreak="0">
    <w:nsid w:val="2EC62287"/>
    <w:multiLevelType w:val="hybridMultilevel"/>
    <w:tmpl w:val="855457F2"/>
    <w:lvl w:ilvl="0" w:tplc="C59EB49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6" w15:restartNumberingAfterBreak="0">
    <w:nsid w:val="3B4E656C"/>
    <w:multiLevelType w:val="hybridMultilevel"/>
    <w:tmpl w:val="65388132"/>
    <w:lvl w:ilvl="0" w:tplc="C59EB49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485B7CA3"/>
    <w:multiLevelType w:val="hybridMultilevel"/>
    <w:tmpl w:val="8FA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025D9"/>
    <w:multiLevelType w:val="hybridMultilevel"/>
    <w:tmpl w:val="1A0EF6FE"/>
    <w:lvl w:ilvl="0" w:tplc="C950939A">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1DC1"/>
    <w:multiLevelType w:val="hybridMultilevel"/>
    <w:tmpl w:val="4714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35F63"/>
    <w:multiLevelType w:val="multilevel"/>
    <w:tmpl w:val="4E163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D734BA"/>
    <w:multiLevelType w:val="hybridMultilevel"/>
    <w:tmpl w:val="FAD0C74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6772398"/>
    <w:multiLevelType w:val="hybridMultilevel"/>
    <w:tmpl w:val="7B98052C"/>
    <w:lvl w:ilvl="0" w:tplc="34040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D4CC1"/>
    <w:multiLevelType w:val="hybridMultilevel"/>
    <w:tmpl w:val="8DD6AB96"/>
    <w:lvl w:ilvl="0" w:tplc="E73813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D7A71"/>
    <w:multiLevelType w:val="hybridMultilevel"/>
    <w:tmpl w:val="2268559C"/>
    <w:lvl w:ilvl="0" w:tplc="34040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A1319"/>
    <w:multiLevelType w:val="hybridMultilevel"/>
    <w:tmpl w:val="544C6DE6"/>
    <w:lvl w:ilvl="0" w:tplc="C59EB49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A7509"/>
    <w:multiLevelType w:val="hybridMultilevel"/>
    <w:tmpl w:val="B23ADEC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16cid:durableId="466748961">
    <w:abstractNumId w:val="2"/>
  </w:num>
  <w:num w:numId="2" w16cid:durableId="274096271">
    <w:abstractNumId w:val="11"/>
  </w:num>
  <w:num w:numId="3" w16cid:durableId="1268731029">
    <w:abstractNumId w:val="5"/>
  </w:num>
  <w:num w:numId="4" w16cid:durableId="1193231957">
    <w:abstractNumId w:val="3"/>
  </w:num>
  <w:num w:numId="5" w16cid:durableId="160052204">
    <w:abstractNumId w:val="9"/>
  </w:num>
  <w:num w:numId="6" w16cid:durableId="879363360">
    <w:abstractNumId w:val="1"/>
  </w:num>
  <w:num w:numId="7" w16cid:durableId="1516650510">
    <w:abstractNumId w:val="14"/>
  </w:num>
  <w:num w:numId="8" w16cid:durableId="103118017">
    <w:abstractNumId w:val="7"/>
  </w:num>
  <w:num w:numId="9" w16cid:durableId="1221552087">
    <w:abstractNumId w:val="7"/>
    <w:lvlOverride w:ilvl="0">
      <w:startOverride w:val="1"/>
    </w:lvlOverride>
  </w:num>
  <w:num w:numId="10" w16cid:durableId="2138794271">
    <w:abstractNumId w:val="12"/>
  </w:num>
  <w:num w:numId="11" w16cid:durableId="1775397156">
    <w:abstractNumId w:val="0"/>
  </w:num>
  <w:num w:numId="12" w16cid:durableId="1012076134">
    <w:abstractNumId w:val="15"/>
  </w:num>
  <w:num w:numId="13" w16cid:durableId="1052575925">
    <w:abstractNumId w:val="13"/>
  </w:num>
  <w:num w:numId="14" w16cid:durableId="1453085673">
    <w:abstractNumId w:val="8"/>
  </w:num>
  <w:num w:numId="15" w16cid:durableId="1886406577">
    <w:abstractNumId w:val="17"/>
  </w:num>
  <w:num w:numId="16" w16cid:durableId="301424809">
    <w:abstractNumId w:val="6"/>
  </w:num>
  <w:num w:numId="17" w16cid:durableId="1852179075">
    <w:abstractNumId w:val="4"/>
  </w:num>
  <w:num w:numId="18" w16cid:durableId="22559885">
    <w:abstractNumId w:val="16"/>
  </w:num>
  <w:num w:numId="19" w16cid:durableId="320698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E2"/>
    <w:rsid w:val="0004151D"/>
    <w:rsid w:val="000579B2"/>
    <w:rsid w:val="00077BA1"/>
    <w:rsid w:val="000A746B"/>
    <w:rsid w:val="000D35E2"/>
    <w:rsid w:val="00117E0E"/>
    <w:rsid w:val="00121730"/>
    <w:rsid w:val="001256B9"/>
    <w:rsid w:val="00191F24"/>
    <w:rsid w:val="00203591"/>
    <w:rsid w:val="00231CDE"/>
    <w:rsid w:val="002538BF"/>
    <w:rsid w:val="002601FA"/>
    <w:rsid w:val="002B628A"/>
    <w:rsid w:val="002C1574"/>
    <w:rsid w:val="0031558E"/>
    <w:rsid w:val="00316541"/>
    <w:rsid w:val="00340B7C"/>
    <w:rsid w:val="003C19F0"/>
    <w:rsid w:val="003D0921"/>
    <w:rsid w:val="00410C1A"/>
    <w:rsid w:val="004506D7"/>
    <w:rsid w:val="004B08A7"/>
    <w:rsid w:val="004B4668"/>
    <w:rsid w:val="004B477D"/>
    <w:rsid w:val="00526FE2"/>
    <w:rsid w:val="005348A4"/>
    <w:rsid w:val="005511ED"/>
    <w:rsid w:val="0059023D"/>
    <w:rsid w:val="005E21DC"/>
    <w:rsid w:val="006168D4"/>
    <w:rsid w:val="00641509"/>
    <w:rsid w:val="00642B4E"/>
    <w:rsid w:val="0066218C"/>
    <w:rsid w:val="00694523"/>
    <w:rsid w:val="00751BE8"/>
    <w:rsid w:val="007E2D82"/>
    <w:rsid w:val="00823216"/>
    <w:rsid w:val="00847364"/>
    <w:rsid w:val="008525B0"/>
    <w:rsid w:val="008B778B"/>
    <w:rsid w:val="00921ACF"/>
    <w:rsid w:val="009A7267"/>
    <w:rsid w:val="00A07036"/>
    <w:rsid w:val="00A45AC6"/>
    <w:rsid w:val="00A77838"/>
    <w:rsid w:val="00AF3077"/>
    <w:rsid w:val="00B0072B"/>
    <w:rsid w:val="00B222DF"/>
    <w:rsid w:val="00B41161"/>
    <w:rsid w:val="00BA3CD1"/>
    <w:rsid w:val="00BB099C"/>
    <w:rsid w:val="00BB1C63"/>
    <w:rsid w:val="00BC0F84"/>
    <w:rsid w:val="00BF2717"/>
    <w:rsid w:val="00BF414B"/>
    <w:rsid w:val="00C327E6"/>
    <w:rsid w:val="00C340B3"/>
    <w:rsid w:val="00C51D0C"/>
    <w:rsid w:val="00C824F3"/>
    <w:rsid w:val="00CC0A9B"/>
    <w:rsid w:val="00CD0EE2"/>
    <w:rsid w:val="00D877EC"/>
    <w:rsid w:val="00D90CEB"/>
    <w:rsid w:val="00DC1706"/>
    <w:rsid w:val="00E70C9C"/>
    <w:rsid w:val="00F06531"/>
    <w:rsid w:val="00F21D37"/>
    <w:rsid w:val="00F35AE8"/>
    <w:rsid w:val="00F91525"/>
    <w:rsid w:val="00FD4FE7"/>
    <w:rsid w:val="00FF2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C614"/>
  <w15:docId w15:val="{532929FF-30A7-4748-8F06-7D53AD5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6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414B"/>
    <w:rPr>
      <w:color w:val="0000FF" w:themeColor="hyperlink"/>
      <w:u w:val="single"/>
    </w:rPr>
  </w:style>
  <w:style w:type="character" w:styleId="UnresolvedMention">
    <w:name w:val="Unresolved Mention"/>
    <w:basedOn w:val="DefaultParagraphFont"/>
    <w:uiPriority w:val="99"/>
    <w:semiHidden/>
    <w:unhideWhenUsed/>
    <w:rsid w:val="00BF414B"/>
    <w:rPr>
      <w:color w:val="605E5C"/>
      <w:shd w:val="clear" w:color="auto" w:fill="E1DFDD"/>
    </w:rPr>
  </w:style>
  <w:style w:type="paragraph" w:styleId="ListParagraph">
    <w:name w:val="List Paragraph"/>
    <w:basedOn w:val="Normal"/>
    <w:uiPriority w:val="34"/>
    <w:qFormat/>
    <w:rsid w:val="00DC1706"/>
    <w:pPr>
      <w:ind w:left="720"/>
      <w:contextualSpacing/>
    </w:pPr>
  </w:style>
  <w:style w:type="paragraph" w:styleId="BodyText">
    <w:name w:val="Body Text"/>
    <w:basedOn w:val="Normal"/>
    <w:link w:val="BodyTextChar"/>
    <w:rsid w:val="0031558E"/>
    <w:pPr>
      <w:spacing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31558E"/>
    <w:rPr>
      <w:rFonts w:ascii="Times New Roman" w:eastAsia="Times New Roman" w:hAnsi="Times New Roman" w:cs="Times New Roman"/>
      <w:sz w:val="24"/>
      <w:szCs w:val="20"/>
      <w:lang w:val="en-GB" w:eastAsia="en-GB"/>
    </w:rPr>
  </w:style>
  <w:style w:type="paragraph" w:customStyle="1" w:styleId="Default">
    <w:name w:val="Default"/>
    <w:rsid w:val="004B4668"/>
    <w:pPr>
      <w:autoSpaceDE w:val="0"/>
      <w:autoSpaceDN w:val="0"/>
      <w:adjustRightInd w:val="0"/>
      <w:spacing w:line="240" w:lineRule="auto"/>
    </w:pPr>
    <w:rPr>
      <w:rFonts w:ascii="ArTarumianTimes" w:hAnsi="ArTarumianTimes" w:cs="ArTarumianTimes"/>
      <w:color w:val="000000"/>
      <w:sz w:val="24"/>
      <w:szCs w:val="24"/>
      <w:lang w:val="en-US"/>
    </w:rPr>
  </w:style>
  <w:style w:type="table" w:styleId="TableGrid">
    <w:name w:val="Table Grid"/>
    <w:basedOn w:val="TableNormal"/>
    <w:uiPriority w:val="39"/>
    <w:rsid w:val="004B46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506D7"/>
    <w:pPr>
      <w:numPr>
        <w:numId w:val="8"/>
      </w:numPr>
      <w:spacing w:after="240" w:line="240" w:lineRule="auto"/>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4B08A7"/>
    <w:rPr>
      <w:sz w:val="16"/>
      <w:szCs w:val="16"/>
    </w:rPr>
  </w:style>
  <w:style w:type="paragraph" w:styleId="CommentText">
    <w:name w:val="annotation text"/>
    <w:basedOn w:val="Normal"/>
    <w:link w:val="CommentTextChar"/>
    <w:uiPriority w:val="99"/>
    <w:unhideWhenUsed/>
    <w:rsid w:val="004B08A7"/>
    <w:pPr>
      <w:spacing w:line="240" w:lineRule="auto"/>
    </w:pPr>
    <w:rPr>
      <w:sz w:val="20"/>
      <w:szCs w:val="20"/>
    </w:rPr>
  </w:style>
  <w:style w:type="character" w:customStyle="1" w:styleId="CommentTextChar">
    <w:name w:val="Comment Text Char"/>
    <w:basedOn w:val="DefaultParagraphFont"/>
    <w:link w:val="CommentText"/>
    <w:uiPriority w:val="99"/>
    <w:rsid w:val="004B08A7"/>
    <w:rPr>
      <w:sz w:val="20"/>
      <w:szCs w:val="20"/>
    </w:rPr>
  </w:style>
  <w:style w:type="paragraph" w:styleId="CommentSubject">
    <w:name w:val="annotation subject"/>
    <w:basedOn w:val="CommentText"/>
    <w:next w:val="CommentText"/>
    <w:link w:val="CommentSubjectChar"/>
    <w:uiPriority w:val="99"/>
    <w:semiHidden/>
    <w:unhideWhenUsed/>
    <w:rsid w:val="004B08A7"/>
    <w:rPr>
      <w:b/>
      <w:bCs/>
    </w:rPr>
  </w:style>
  <w:style w:type="character" w:customStyle="1" w:styleId="CommentSubjectChar">
    <w:name w:val="Comment Subject Char"/>
    <w:basedOn w:val="CommentTextChar"/>
    <w:link w:val="CommentSubject"/>
    <w:uiPriority w:val="99"/>
    <w:semiHidden/>
    <w:rsid w:val="004B08A7"/>
    <w:rPr>
      <w:b/>
      <w:bCs/>
      <w:sz w:val="20"/>
      <w:szCs w:val="20"/>
    </w:rPr>
  </w:style>
  <w:style w:type="paragraph" w:styleId="BalloonText">
    <w:name w:val="Balloon Text"/>
    <w:basedOn w:val="Normal"/>
    <w:link w:val="BalloonTextChar"/>
    <w:uiPriority w:val="99"/>
    <w:semiHidden/>
    <w:unhideWhenUsed/>
    <w:rsid w:val="004B0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A7"/>
    <w:rPr>
      <w:rFonts w:ascii="Segoe UI" w:hAnsi="Segoe UI" w:cs="Segoe UI"/>
      <w:sz w:val="18"/>
      <w:szCs w:val="18"/>
    </w:rPr>
  </w:style>
  <w:style w:type="paragraph" w:customStyle="1" w:styleId="Text1">
    <w:name w:val="Text 1"/>
    <w:basedOn w:val="Normal"/>
    <w:link w:val="Text1Char"/>
    <w:rsid w:val="00191F24"/>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191F24"/>
    <w:rPr>
      <w:rFonts w:ascii="Times New Roman" w:eastAsia="Times New Roman" w:hAnsi="Times New Roman" w:cs="Times New Roman"/>
      <w:sz w:val="24"/>
      <w:szCs w:val="24"/>
      <w:lang w:val="en-GB" w:eastAsia="zh-CN"/>
    </w:rPr>
  </w:style>
  <w:style w:type="paragraph" w:styleId="Revision">
    <w:name w:val="Revision"/>
    <w:hidden/>
    <w:uiPriority w:val="99"/>
    <w:semiHidden/>
    <w:rsid w:val="00BB09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europeaid/funding/about-calls-tender/procedures-and-practical-guide-prag/diems_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AC7-2EBC-49C0-AE9C-0F0B5A85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Ashraf Samuel</dc:creator>
  <cp:lastModifiedBy>Ashraf Samuel</cp:lastModifiedBy>
  <cp:revision>2</cp:revision>
  <dcterms:created xsi:type="dcterms:W3CDTF">2023-11-22T05:23:00Z</dcterms:created>
  <dcterms:modified xsi:type="dcterms:W3CDTF">2023-11-22T05:23:00Z</dcterms:modified>
</cp:coreProperties>
</file>