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DA9BA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3D64FE31" w14:textId="5B56EEFB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>Global price:</w:t>
      </w:r>
      <w:r w:rsidR="00C6273F">
        <w:rPr>
          <w:rFonts w:ascii="Times New Roman" w:hAnsi="Times New Roman"/>
          <w:b/>
          <w:sz w:val="22"/>
          <w:szCs w:val="22"/>
        </w:rPr>
        <w:t xml:space="preserve"> EUR</w:t>
      </w:r>
      <w:r w:rsidR="00C33508">
        <w:rPr>
          <w:rFonts w:ascii="Times New Roman" w:hAnsi="Times New Roman"/>
          <w:b/>
          <w:sz w:val="22"/>
          <w:szCs w:val="22"/>
        </w:rPr>
        <w:t>O_____________________________</w:t>
      </w:r>
      <w:r w:rsidRPr="005F7F33">
        <w:rPr>
          <w:rFonts w:ascii="Times New Roman" w:hAnsi="Times New Roman"/>
          <w:b/>
          <w:sz w:val="22"/>
          <w:szCs w:val="22"/>
        </w:rPr>
        <w:t xml:space="preserve"> 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06787D64" w14:textId="10850DD7" w:rsidR="00C94A0C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</w:t>
      </w:r>
      <w:r w:rsidR="00C33508">
        <w:rPr>
          <w:rFonts w:ascii="Times New Roman" w:hAnsi="Times New Roman"/>
          <w:sz w:val="22"/>
          <w:szCs w:val="22"/>
        </w:rPr>
        <w:t>ill</w:t>
      </w:r>
      <w:r w:rsidR="00826A52" w:rsidRPr="00A172D7">
        <w:rPr>
          <w:rFonts w:ascii="Times New Roman" w:hAnsi="Times New Roman"/>
          <w:sz w:val="22"/>
          <w:szCs w:val="22"/>
        </w:rPr>
        <w:t xml:space="preserve">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C33508">
        <w:rPr>
          <w:rFonts w:ascii="Times New Roman" w:hAnsi="Times New Roman"/>
          <w:b/>
          <w:bCs/>
          <w:sz w:val="22"/>
          <w:szCs w:val="22"/>
          <w:u w:val="single"/>
        </w:rPr>
        <w:t>The</w:t>
      </w:r>
      <w:r w:rsidR="00826A52" w:rsidRPr="00C33508">
        <w:rPr>
          <w:rFonts w:ascii="Times New Roman" w:hAnsi="Times New Roman"/>
          <w:b/>
          <w:bCs/>
          <w:sz w:val="22"/>
          <w:szCs w:val="22"/>
          <w:u w:val="single"/>
        </w:rPr>
        <w:t xml:space="preserve"> amount of VAT/indirect tax, if applicable, must be indicated separately</w:t>
      </w:r>
      <w:r w:rsidR="00826A52" w:rsidRPr="00A172D7">
        <w:rPr>
          <w:rFonts w:ascii="Times New Roman" w:hAnsi="Times New Roman"/>
          <w:sz w:val="22"/>
          <w:szCs w:val="22"/>
        </w:rPr>
        <w:t xml:space="preserve">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14:paraId="5973E6E6" w14:textId="50297CF6" w:rsidR="00C94A0C" w:rsidRDefault="008F04AC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Furthermore, </w:t>
      </w:r>
      <w:r w:rsidR="008F5673">
        <w:rPr>
          <w:rFonts w:ascii="Times New Roman" w:hAnsi="Times New Roman"/>
          <w:sz w:val="22"/>
          <w:szCs w:val="22"/>
        </w:rPr>
        <w:t xml:space="preserve">the Programme </w:t>
      </w:r>
      <w:r w:rsidR="00930F59" w:rsidRPr="00930F59">
        <w:rPr>
          <w:rFonts w:ascii="Times New Roman" w:hAnsi="Times New Roman"/>
          <w:sz w:val="22"/>
          <w:szCs w:val="22"/>
        </w:rPr>
        <w:t>EU-ZIRA3A</w:t>
      </w:r>
      <w:r w:rsidR="008F5673">
        <w:rPr>
          <w:rFonts w:ascii="Times New Roman" w:hAnsi="Times New Roman"/>
          <w:sz w:val="22"/>
          <w:szCs w:val="22"/>
        </w:rPr>
        <w:t xml:space="preserve"> </w:t>
      </w:r>
      <w:r w:rsidR="00930F59" w:rsidRPr="00930F59">
        <w:rPr>
          <w:rFonts w:ascii="Times New Roman" w:hAnsi="Times New Roman"/>
          <w:sz w:val="22"/>
          <w:szCs w:val="22"/>
        </w:rPr>
        <w:t>is fully exempted from the Value Added Tax (VAT) by the Ministry of Finance of the Arab Republic of Egypt, in the framework of the Contribution Agreement of the Programme</w:t>
      </w:r>
      <w:r w:rsidR="006D4F84">
        <w:rPr>
          <w:rFonts w:ascii="Times New Roman" w:hAnsi="Times New Roman"/>
          <w:sz w:val="22"/>
          <w:szCs w:val="22"/>
        </w:rPr>
        <w:t>.</w:t>
      </w:r>
    </w:p>
    <w:p w14:paraId="2694A0C1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F5FC4A0" w14:textId="0AB63457" w:rsidR="009072FA" w:rsidRDefault="00C94A0C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Please include a price break down </w:t>
      </w:r>
      <w:r w:rsidR="00146A17">
        <w:rPr>
          <w:rFonts w:ascii="Times New Roman" w:hAnsi="Times New Roman"/>
          <w:sz w:val="22"/>
          <w:szCs w:val="22"/>
        </w:rPr>
        <w:t>based on the outputs/deliverables in the terms of reference using the t</w:t>
      </w:r>
      <w:r w:rsidR="00424B4C">
        <w:rPr>
          <w:rFonts w:ascii="Times New Roman" w:hAnsi="Times New Roman"/>
          <w:sz w:val="22"/>
          <w:szCs w:val="22"/>
        </w:rPr>
        <w:t>able</w:t>
      </w:r>
      <w:r w:rsidR="00146A17">
        <w:rPr>
          <w:rFonts w:ascii="Times New Roman" w:hAnsi="Times New Roman"/>
          <w:sz w:val="22"/>
          <w:szCs w:val="22"/>
        </w:rPr>
        <w:t xml:space="preserve"> provided here below, further </w:t>
      </w:r>
      <w:r w:rsidR="005F3542">
        <w:rPr>
          <w:rFonts w:ascii="Times New Roman" w:hAnsi="Times New Roman"/>
          <w:sz w:val="22"/>
          <w:szCs w:val="22"/>
        </w:rPr>
        <w:t xml:space="preserve">information on budget breakdown is available in the </w:t>
      </w:r>
      <w:r w:rsidR="001B7B35">
        <w:rPr>
          <w:rFonts w:ascii="Times New Roman" w:hAnsi="Times New Roman"/>
          <w:sz w:val="22"/>
          <w:szCs w:val="22"/>
        </w:rPr>
        <w:t>attached “</w:t>
      </w:r>
      <w:r w:rsidR="009131D2">
        <w:rPr>
          <w:rFonts w:ascii="Times New Roman" w:hAnsi="Times New Roman"/>
          <w:sz w:val="22"/>
          <w:szCs w:val="22"/>
        </w:rPr>
        <w:t>Budget breakdown for the list o</w:t>
      </w:r>
      <w:r w:rsidR="00C6273F">
        <w:rPr>
          <w:rFonts w:ascii="Times New Roman" w:hAnsi="Times New Roman"/>
          <w:sz w:val="22"/>
          <w:szCs w:val="22"/>
        </w:rPr>
        <w:t xml:space="preserve">f services”. </w:t>
      </w:r>
    </w:p>
    <w:p w14:paraId="64CE722D" w14:textId="77777777" w:rsidR="009072FA" w:rsidRDefault="009072F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tbl>
      <w:tblPr>
        <w:tblW w:w="14449" w:type="dxa"/>
        <w:tblInd w:w="118" w:type="dxa"/>
        <w:tblLook w:val="04A0" w:firstRow="1" w:lastRow="0" w:firstColumn="1" w:lastColumn="0" w:noHBand="0" w:noVBand="1"/>
      </w:tblPr>
      <w:tblGrid>
        <w:gridCol w:w="1163"/>
        <w:gridCol w:w="5348"/>
        <w:gridCol w:w="2977"/>
        <w:gridCol w:w="4961"/>
      </w:tblGrid>
      <w:tr w:rsidR="00AB7962" w:rsidRPr="00AB7962" w14:paraId="6E4C0753" w14:textId="77777777" w:rsidTr="00BA7D67">
        <w:trPr>
          <w:trHeight w:val="852"/>
        </w:trPr>
        <w:tc>
          <w:tcPr>
            <w:tcW w:w="1444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8D6441" w14:textId="19AA49CD" w:rsidR="00AB7962" w:rsidRPr="00AB7962" w:rsidRDefault="00AB7962" w:rsidP="00AB796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796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Expected Output/Result 2.1 </w:t>
            </w:r>
            <w:r w:rsidR="00BA7D67" w:rsidRPr="00AB796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 The</w:t>
            </w:r>
            <w:r w:rsidRPr="00AB796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extension system is strengthened towards a </w:t>
            </w:r>
            <w:r w:rsidR="00BC3EDD" w:rsidRPr="00AB796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sustainable management</w:t>
            </w:r>
            <w:r w:rsidRPr="00AB796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of natural resources and agrifood-ecosystems</w:t>
            </w:r>
          </w:p>
        </w:tc>
      </w:tr>
      <w:tr w:rsidR="00AB7962" w:rsidRPr="00AB7962" w14:paraId="6432EA0D" w14:textId="77777777" w:rsidTr="00BA7D67">
        <w:trPr>
          <w:trHeight w:val="600"/>
        </w:trPr>
        <w:tc>
          <w:tcPr>
            <w:tcW w:w="11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E2C6" w14:textId="77777777" w:rsidR="00AB7962" w:rsidRPr="00AB7962" w:rsidRDefault="00AB7962" w:rsidP="00AB796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Work Packages</w:t>
            </w:r>
          </w:p>
        </w:tc>
        <w:tc>
          <w:tcPr>
            <w:tcW w:w="534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25CE3A" w14:textId="77777777" w:rsidR="00AB7962" w:rsidRPr="00AB7962" w:rsidRDefault="00AB7962" w:rsidP="00AB796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Activities Main Description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54A23" w14:textId="77777777" w:rsidR="00AB7962" w:rsidRPr="00AB7962" w:rsidRDefault="00AB7962" w:rsidP="00AB796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Max. Available Budget (EUR)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9C3A1" w14:textId="77777777" w:rsidR="00AB7962" w:rsidRPr="00AB7962" w:rsidRDefault="00AB7962" w:rsidP="00AB796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Financial offer by the tenderer</w:t>
            </w:r>
          </w:p>
        </w:tc>
      </w:tr>
      <w:tr w:rsidR="00AB7962" w:rsidRPr="00AB7962" w14:paraId="61116EA3" w14:textId="77777777" w:rsidTr="00BA7D67">
        <w:trPr>
          <w:trHeight w:val="801"/>
        </w:trPr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EA83" w14:textId="77777777" w:rsidR="00AB7962" w:rsidRPr="00AB7962" w:rsidRDefault="00AB7962" w:rsidP="00AB796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6BBE" w14:textId="77777777" w:rsidR="00AB7962" w:rsidRPr="00AB7962" w:rsidRDefault="00AB7962" w:rsidP="00AB79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sz w:val="24"/>
                <w:szCs w:val="24"/>
              </w:rPr>
              <w:t>Developing extension plans according to GAPs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05528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sz w:val="24"/>
                <w:szCs w:val="24"/>
              </w:rPr>
              <w:t>136,050.02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FA032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</w:t>
            </w:r>
          </w:p>
        </w:tc>
      </w:tr>
      <w:tr w:rsidR="00AB7962" w:rsidRPr="00AB7962" w14:paraId="06681EA1" w14:textId="77777777" w:rsidTr="00BA7D67">
        <w:trPr>
          <w:trHeight w:val="801"/>
        </w:trPr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4033" w14:textId="77777777" w:rsidR="00AB7962" w:rsidRPr="00AB7962" w:rsidRDefault="00AB7962" w:rsidP="00AB796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CE54" w14:textId="77777777" w:rsidR="00AB7962" w:rsidRPr="00AB7962" w:rsidRDefault="00AB7962" w:rsidP="00AB796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color w:val="000000"/>
                <w:sz w:val="24"/>
                <w:szCs w:val="24"/>
              </w:rPr>
              <w:t>Training of Trainers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53246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sz w:val="24"/>
                <w:szCs w:val="24"/>
              </w:rPr>
              <w:t>126,250.00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68564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</w:t>
            </w:r>
          </w:p>
        </w:tc>
      </w:tr>
      <w:tr w:rsidR="00AB7962" w:rsidRPr="00AB7962" w14:paraId="153C007B" w14:textId="77777777" w:rsidTr="00BA7D67">
        <w:trPr>
          <w:trHeight w:val="801"/>
        </w:trPr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BD09" w14:textId="77777777" w:rsidR="00AB7962" w:rsidRPr="00AB7962" w:rsidRDefault="00AB7962" w:rsidP="00AB796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E51A" w14:textId="77777777" w:rsidR="00AB7962" w:rsidRPr="00AB7962" w:rsidRDefault="00AB7962" w:rsidP="00AB79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sz w:val="24"/>
                <w:szCs w:val="24"/>
              </w:rPr>
              <w:t>Providing technical and financial assistance for rolling out the extension plans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4E054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sz w:val="24"/>
                <w:szCs w:val="24"/>
              </w:rPr>
              <w:t>1,048,128.40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EADBD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</w:t>
            </w:r>
          </w:p>
        </w:tc>
      </w:tr>
      <w:tr w:rsidR="00AB7962" w:rsidRPr="00AB7962" w14:paraId="5072EE79" w14:textId="77777777" w:rsidTr="00BA7D67">
        <w:trPr>
          <w:trHeight w:val="399"/>
        </w:trPr>
        <w:tc>
          <w:tcPr>
            <w:tcW w:w="6511" w:type="dxa"/>
            <w:gridSpan w:val="2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EB39D6" w14:textId="77777777" w:rsidR="00AB7962" w:rsidRPr="00AB7962" w:rsidRDefault="00AB7962" w:rsidP="00AB796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Total Cost (EUR)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16A7B4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sz w:val="24"/>
                <w:szCs w:val="24"/>
              </w:rPr>
              <w:t>1,310,428.42</w:t>
            </w:r>
          </w:p>
        </w:tc>
        <w:tc>
          <w:tcPr>
            <w:tcW w:w="496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02C5984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</w:t>
            </w:r>
          </w:p>
        </w:tc>
      </w:tr>
      <w:tr w:rsidR="00AB7962" w:rsidRPr="00AB7962" w14:paraId="28394766" w14:textId="77777777" w:rsidTr="00BA7D67">
        <w:trPr>
          <w:trHeight w:val="681"/>
        </w:trPr>
        <w:tc>
          <w:tcPr>
            <w:tcW w:w="14449" w:type="dxa"/>
            <w:gridSpan w:val="4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3389C5" w14:textId="77777777" w:rsidR="00AB7962" w:rsidRPr="00AB7962" w:rsidRDefault="00AB7962" w:rsidP="00AB796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AB7962" w:rsidRPr="00AB7962" w14:paraId="769E1577" w14:textId="77777777" w:rsidTr="00BA7D67">
        <w:trPr>
          <w:trHeight w:val="852"/>
        </w:trPr>
        <w:tc>
          <w:tcPr>
            <w:tcW w:w="1444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74DF0F" w14:textId="78A7BEDB" w:rsidR="00AB7962" w:rsidRPr="00AB7962" w:rsidRDefault="00AB7962" w:rsidP="00AB796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796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Expected Output/Result 2.2 </w:t>
            </w:r>
            <w:r w:rsidR="00BC3EDD" w:rsidRPr="00AB796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 Animal</w:t>
            </w:r>
            <w:r w:rsidRPr="00AB796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wealth resources are improved and diversified</w:t>
            </w:r>
          </w:p>
        </w:tc>
      </w:tr>
      <w:tr w:rsidR="00AB7962" w:rsidRPr="00AB7962" w14:paraId="15C1053B" w14:textId="77777777" w:rsidTr="00BA7D67">
        <w:trPr>
          <w:trHeight w:val="600"/>
        </w:trPr>
        <w:tc>
          <w:tcPr>
            <w:tcW w:w="11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8053" w14:textId="77777777" w:rsidR="00AB7962" w:rsidRPr="00AB7962" w:rsidRDefault="00AB7962" w:rsidP="00AB796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Work Package</w:t>
            </w:r>
          </w:p>
        </w:tc>
        <w:tc>
          <w:tcPr>
            <w:tcW w:w="53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C101" w14:textId="77777777" w:rsidR="00AB7962" w:rsidRPr="00AB7962" w:rsidRDefault="00AB7962" w:rsidP="00AB796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Activities Main Description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DF677" w14:textId="2469840D" w:rsidR="00AB7962" w:rsidRPr="00AB7962" w:rsidRDefault="00AB7962" w:rsidP="00AB796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Max. Available Budget (EUR)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5086D" w14:textId="77777777" w:rsidR="00AB7962" w:rsidRPr="00AB7962" w:rsidRDefault="00AB7962" w:rsidP="00AB796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Financial offer by the tenderer</w:t>
            </w:r>
          </w:p>
        </w:tc>
      </w:tr>
      <w:tr w:rsidR="00AB7962" w:rsidRPr="00AB7962" w14:paraId="7366454B" w14:textId="77777777" w:rsidTr="00BA7D67">
        <w:trPr>
          <w:trHeight w:val="801"/>
        </w:trPr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74CA" w14:textId="77777777" w:rsidR="00AB7962" w:rsidRPr="00AB7962" w:rsidRDefault="00AB7962" w:rsidP="00AB796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2.2.1 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2061" w14:textId="77777777" w:rsidR="00AB7962" w:rsidRPr="00AB7962" w:rsidRDefault="00AB7962" w:rsidP="00AB79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sz w:val="24"/>
                <w:szCs w:val="24"/>
              </w:rPr>
              <w:t>Increasing knowledge of the situation of the animal husbandry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20F85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sz w:val="24"/>
                <w:szCs w:val="24"/>
              </w:rPr>
              <w:t>2,800.00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A128B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</w:t>
            </w:r>
          </w:p>
        </w:tc>
      </w:tr>
      <w:tr w:rsidR="00AB7962" w:rsidRPr="00AB7962" w14:paraId="5538CBA3" w14:textId="77777777" w:rsidTr="00BA7D67">
        <w:trPr>
          <w:trHeight w:val="801"/>
        </w:trPr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568B" w14:textId="77777777" w:rsidR="00AB7962" w:rsidRPr="00AB7962" w:rsidRDefault="00AB7962" w:rsidP="00AB796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D58F" w14:textId="187B3154" w:rsidR="00AB7962" w:rsidRPr="00AB7962" w:rsidRDefault="00AB7962" w:rsidP="00AB796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color w:val="000000"/>
                <w:sz w:val="24"/>
                <w:szCs w:val="24"/>
              </w:rPr>
              <w:t>Bui</w:t>
            </w:r>
            <w:r w:rsidR="009624CB">
              <w:rPr>
                <w:rFonts w:ascii="Times New Roman" w:hAnsi="Times New Roman"/>
                <w:color w:val="000000"/>
                <w:sz w:val="24"/>
                <w:szCs w:val="24"/>
              </w:rPr>
              <w:t>l</w:t>
            </w:r>
            <w:r w:rsidRPr="00AB7962">
              <w:rPr>
                <w:rFonts w:ascii="Times New Roman" w:hAnsi="Times New Roman"/>
                <w:color w:val="000000"/>
                <w:sz w:val="24"/>
                <w:szCs w:val="24"/>
              </w:rPr>
              <w:t>ding the capacity of veterinary providers &amp; raising awareness to veterinary services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6983B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sz w:val="24"/>
                <w:szCs w:val="24"/>
              </w:rPr>
              <w:t>315,255.00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ADBA3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</w:t>
            </w:r>
          </w:p>
        </w:tc>
      </w:tr>
      <w:tr w:rsidR="00AB7962" w:rsidRPr="00AB7962" w14:paraId="18B6E7C1" w14:textId="77777777" w:rsidTr="00BA7D67">
        <w:trPr>
          <w:trHeight w:val="801"/>
        </w:trPr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1ABB" w14:textId="77777777" w:rsidR="00AB7962" w:rsidRPr="00AB7962" w:rsidRDefault="00AB7962" w:rsidP="00AB796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color w:val="000000"/>
                <w:sz w:val="24"/>
                <w:szCs w:val="24"/>
              </w:rPr>
              <w:t>2.2.3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7510" w14:textId="77777777" w:rsidR="00AB7962" w:rsidRPr="00AB7962" w:rsidRDefault="00AB7962" w:rsidP="00AB79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sz w:val="24"/>
                <w:szCs w:val="24"/>
              </w:rPr>
              <w:t>Improving profitability of the animal husbandry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ECDD7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sz w:val="24"/>
                <w:szCs w:val="24"/>
              </w:rPr>
              <w:t>123,796.58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B8195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</w:t>
            </w:r>
          </w:p>
        </w:tc>
      </w:tr>
      <w:tr w:rsidR="00AB7962" w:rsidRPr="00AB7962" w14:paraId="62E2A3E3" w14:textId="77777777" w:rsidTr="00BA7D67">
        <w:trPr>
          <w:trHeight w:val="399"/>
        </w:trPr>
        <w:tc>
          <w:tcPr>
            <w:tcW w:w="6511" w:type="dxa"/>
            <w:gridSpan w:val="2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E59A8D" w14:textId="77777777" w:rsidR="00AB7962" w:rsidRPr="00AB7962" w:rsidRDefault="00AB7962" w:rsidP="00AB796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Total Cost (EUR)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66D8FA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sz w:val="24"/>
                <w:szCs w:val="24"/>
              </w:rPr>
              <w:t>441,851.58</w:t>
            </w:r>
          </w:p>
        </w:tc>
        <w:tc>
          <w:tcPr>
            <w:tcW w:w="496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E9EF324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7962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</w:t>
            </w:r>
          </w:p>
        </w:tc>
      </w:tr>
      <w:tr w:rsidR="00AB7962" w:rsidRPr="00AB7962" w14:paraId="05EB8586" w14:textId="77777777" w:rsidTr="00BA7D67">
        <w:trPr>
          <w:trHeight w:val="516"/>
        </w:trPr>
        <w:tc>
          <w:tcPr>
            <w:tcW w:w="14449" w:type="dxa"/>
            <w:gridSpan w:val="4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B62664" w14:textId="77777777" w:rsidR="00AB7962" w:rsidRPr="00AB7962" w:rsidRDefault="00AB7962" w:rsidP="00AB796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79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7962" w:rsidRPr="00AB7962" w14:paraId="50AA8CE2" w14:textId="77777777" w:rsidTr="00BA7D67">
        <w:trPr>
          <w:trHeight w:val="681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14:paraId="376E2C30" w14:textId="31A73FF9" w:rsidR="00AB7962" w:rsidRPr="00AB7962" w:rsidRDefault="00BC3EDD" w:rsidP="00AB796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796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Overall Total</w:t>
            </w:r>
            <w:r w:rsidR="00AB7962" w:rsidRPr="00AB796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Cost for Lot 1(EUR)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18A2045B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B7962">
              <w:rPr>
                <w:rFonts w:ascii="Times New Roman" w:hAnsi="Times New Roman"/>
                <w:b/>
                <w:bCs/>
                <w:sz w:val="28"/>
                <w:szCs w:val="28"/>
              </w:rPr>
              <w:t>1,752,280.00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1A8DE583" w14:textId="77777777" w:rsidR="00AB7962" w:rsidRPr="00AB7962" w:rsidRDefault="00AB7962" w:rsidP="00AB79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B796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AB7962" w:rsidRPr="00AB7962" w14:paraId="1F690146" w14:textId="77777777" w:rsidTr="00BA7D67">
        <w:trPr>
          <w:trHeight w:val="1116"/>
        </w:trPr>
        <w:tc>
          <w:tcPr>
            <w:tcW w:w="1444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EBA014" w14:textId="5DAFAF35" w:rsidR="00AB7962" w:rsidRPr="00AB7962" w:rsidRDefault="00AB7962" w:rsidP="00AB796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96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NB:</w:t>
            </w:r>
            <w:r w:rsidRPr="00AB796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i) The overall financial offer by the tender cannot be above the maximum available budget. </w:t>
            </w:r>
            <w:r w:rsidRPr="00AB796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ii) Variations within the budget breakdown allocations</w:t>
            </w:r>
            <w:r w:rsidR="00920D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under each result</w:t>
            </w:r>
            <w:r w:rsidRPr="00AB79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are allowed, for as long as they are within 5% (less or more) of the allocated maximum available budget.</w:t>
            </w:r>
          </w:p>
        </w:tc>
      </w:tr>
    </w:tbl>
    <w:p w14:paraId="7C1CEDE7" w14:textId="77777777" w:rsidR="009072FA" w:rsidRDefault="009072F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2C3C20B3" w14:textId="77777777" w:rsidR="009072FA" w:rsidRDefault="009072F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B01E6A2" w14:textId="77777777" w:rsidR="006D4F84" w:rsidRDefault="006D4F84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71007F9" w14:textId="0A29D3F5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Name of tenderer: </w:t>
      </w:r>
      <w:r w:rsidR="006D4F84">
        <w:rPr>
          <w:rFonts w:ascii="Times New Roman" w:hAnsi="Times New Roman"/>
          <w:sz w:val="22"/>
          <w:szCs w:val="22"/>
        </w:rPr>
        <w:t>________________________________________________________________________</w:t>
      </w:r>
    </w:p>
    <w:p w14:paraId="3D0ECF99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C3EE909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 w:rsidSect="00AB79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134" w:right="1134" w:bottom="1134" w:left="1134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EA9E5" w14:textId="77777777" w:rsidR="000D6929" w:rsidRDefault="000D6929">
      <w:r>
        <w:separator/>
      </w:r>
    </w:p>
  </w:endnote>
  <w:endnote w:type="continuationSeparator" w:id="0">
    <w:p w14:paraId="6C8CBC52" w14:textId="77777777" w:rsidR="000D6929" w:rsidRDefault="000D6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3A792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2F1C3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7AC19E7A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8EB80" w14:textId="77777777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589F6CE2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64AE4" w14:textId="77777777" w:rsidR="000D6929" w:rsidRDefault="000D6929">
      <w:r>
        <w:separator/>
      </w:r>
    </w:p>
  </w:footnote>
  <w:footnote w:type="continuationSeparator" w:id="0">
    <w:p w14:paraId="20FA59DD" w14:textId="77777777" w:rsidR="000D6929" w:rsidRDefault="000D6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CF12F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9DB0B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9C464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1419399671">
    <w:abstractNumId w:val="2"/>
  </w:num>
  <w:num w:numId="2" w16cid:durableId="197202000">
    <w:abstractNumId w:val="6"/>
  </w:num>
  <w:num w:numId="3" w16cid:durableId="2063478532">
    <w:abstractNumId w:val="1"/>
  </w:num>
  <w:num w:numId="4" w16cid:durableId="627783270">
    <w:abstractNumId w:val="8"/>
  </w:num>
  <w:num w:numId="5" w16cid:durableId="1860965901">
    <w:abstractNumId w:val="4"/>
  </w:num>
  <w:num w:numId="6" w16cid:durableId="1141464013">
    <w:abstractNumId w:val="3"/>
  </w:num>
  <w:num w:numId="7" w16cid:durableId="691299673">
    <w:abstractNumId w:val="5"/>
  </w:num>
  <w:num w:numId="8" w16cid:durableId="149533748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2921061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80CE2"/>
    <w:rsid w:val="000D048A"/>
    <w:rsid w:val="000D2683"/>
    <w:rsid w:val="000D6929"/>
    <w:rsid w:val="000D79D4"/>
    <w:rsid w:val="00103129"/>
    <w:rsid w:val="00132212"/>
    <w:rsid w:val="00146048"/>
    <w:rsid w:val="00146A17"/>
    <w:rsid w:val="00174F78"/>
    <w:rsid w:val="0018588D"/>
    <w:rsid w:val="001944F5"/>
    <w:rsid w:val="001A2D00"/>
    <w:rsid w:val="001B35AF"/>
    <w:rsid w:val="001B7B35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3D4505"/>
    <w:rsid w:val="00403205"/>
    <w:rsid w:val="004112E6"/>
    <w:rsid w:val="00411C17"/>
    <w:rsid w:val="00424B4C"/>
    <w:rsid w:val="004925CE"/>
    <w:rsid w:val="004A306D"/>
    <w:rsid w:val="004C4C6F"/>
    <w:rsid w:val="00522D92"/>
    <w:rsid w:val="00530F86"/>
    <w:rsid w:val="00576E3D"/>
    <w:rsid w:val="005A6573"/>
    <w:rsid w:val="005F3542"/>
    <w:rsid w:val="005F7632"/>
    <w:rsid w:val="005F7F33"/>
    <w:rsid w:val="00610773"/>
    <w:rsid w:val="0062745D"/>
    <w:rsid w:val="00637E6C"/>
    <w:rsid w:val="00650185"/>
    <w:rsid w:val="006613AE"/>
    <w:rsid w:val="006B54AB"/>
    <w:rsid w:val="006D4F84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8F04AC"/>
    <w:rsid w:val="008F5673"/>
    <w:rsid w:val="009072FA"/>
    <w:rsid w:val="009131D2"/>
    <w:rsid w:val="00920D1C"/>
    <w:rsid w:val="00930F59"/>
    <w:rsid w:val="00935FAE"/>
    <w:rsid w:val="009365F0"/>
    <w:rsid w:val="009624CB"/>
    <w:rsid w:val="00970348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B7962"/>
    <w:rsid w:val="00AD1B9F"/>
    <w:rsid w:val="00AF1C4C"/>
    <w:rsid w:val="00AF6A9B"/>
    <w:rsid w:val="00B0502C"/>
    <w:rsid w:val="00B13AA7"/>
    <w:rsid w:val="00B42885"/>
    <w:rsid w:val="00B46F5F"/>
    <w:rsid w:val="00B5590A"/>
    <w:rsid w:val="00B67E6A"/>
    <w:rsid w:val="00B91FFB"/>
    <w:rsid w:val="00BA7D67"/>
    <w:rsid w:val="00BC3D17"/>
    <w:rsid w:val="00BC3EDD"/>
    <w:rsid w:val="00C30894"/>
    <w:rsid w:val="00C33508"/>
    <w:rsid w:val="00C6273F"/>
    <w:rsid w:val="00C94A0C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04862E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0FE71F-A88B-4185-9CCF-DDB0F7BB3E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Felistas Gicheru</cp:lastModifiedBy>
  <cp:revision>33</cp:revision>
  <cp:lastPrinted>2006-01-04T13:01:00Z</cp:lastPrinted>
  <dcterms:created xsi:type="dcterms:W3CDTF">2018-12-18T11:17:00Z</dcterms:created>
  <dcterms:modified xsi:type="dcterms:W3CDTF">2024-07-21T12:15:00Z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